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附件二</w:t>
      </w:r>
    </w:p>
    <w:p>
      <w:pPr>
        <w:jc w:val="center"/>
        <w:rPr>
          <w:rFonts w:hint="eastAsia" w:ascii="仿宋" w:hAnsi="仿宋" w:eastAsia="仿宋" w:cs="仿宋"/>
          <w:b/>
          <w:bCs/>
          <w:sz w:val="44"/>
          <w:szCs w:val="52"/>
          <w:lang w:val="en-US" w:eastAsia="zh-CN"/>
        </w:rPr>
      </w:pPr>
      <w:r>
        <w:rPr>
          <w:rFonts w:hint="eastAsia" w:ascii="仿宋" w:hAnsi="仿宋" w:eastAsia="仿宋" w:cs="仿宋"/>
          <w:b/>
          <w:bCs/>
          <w:sz w:val="44"/>
          <w:szCs w:val="52"/>
          <w:lang w:val="en-US" w:eastAsia="zh-CN"/>
        </w:rPr>
        <w:t>单位管理员审核流程</w:t>
      </w:r>
    </w:p>
    <w:p>
      <w:pPr>
        <w:jc w:val="center"/>
        <w:rPr>
          <w:rFonts w:hint="eastAsia" w:ascii="仿宋" w:hAnsi="仿宋" w:eastAsia="仿宋" w:cs="仿宋"/>
          <w:b/>
          <w:bCs/>
          <w:sz w:val="44"/>
          <w:szCs w:val="5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803" w:firstLineChars="200"/>
        <w:jc w:val="left"/>
        <w:textAlignment w:val="auto"/>
        <w:rPr>
          <w:rFonts w:hint="eastAsia" w:ascii="仿宋" w:hAnsi="仿宋" w:eastAsia="仿宋" w:cs="仿宋"/>
          <w:b/>
          <w:bCs/>
          <w:sz w:val="40"/>
          <w:szCs w:val="48"/>
          <w:lang w:val="en-US" w:eastAsia="zh-CN"/>
        </w:rPr>
      </w:pPr>
      <w:r>
        <w:rPr>
          <w:rFonts w:hint="eastAsia" w:ascii="仿宋" w:hAnsi="仿宋" w:eastAsia="仿宋" w:cs="仿宋"/>
          <w:b/>
          <w:bCs/>
          <w:sz w:val="40"/>
          <w:szCs w:val="48"/>
          <w:lang w:val="en-US" w:eastAsia="zh-CN"/>
        </w:rPr>
        <w:t>登录系统</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00" w:firstLineChars="200"/>
        <w:jc w:val="both"/>
        <w:textAlignment w:val="auto"/>
        <w:rPr>
          <w:rFonts w:hint="eastAsia" w:ascii="仿宋" w:hAnsi="仿宋" w:eastAsia="仿宋" w:cs="仿宋"/>
          <w:sz w:val="30"/>
          <w:lang w:eastAsia="zh-CN"/>
        </w:rPr>
      </w:pPr>
      <w:r>
        <w:rPr>
          <w:rFonts w:hint="eastAsia" w:ascii="仿宋" w:hAnsi="仿宋" w:eastAsia="仿宋" w:cs="仿宋"/>
          <w:sz w:val="30"/>
          <w:lang w:val="en-US" w:eastAsia="zh-CN"/>
        </w:rPr>
        <w:t>单位管理员</w:t>
      </w:r>
      <w:r>
        <w:rPr>
          <w:rFonts w:hint="eastAsia" w:ascii="仿宋" w:hAnsi="仿宋" w:eastAsia="仿宋" w:cs="仿宋"/>
          <w:sz w:val="30"/>
        </w:rPr>
        <w:t>登录贵重仪器设备共享管理系统平台https://lims.jnu.edu.cn/</w:t>
      </w:r>
      <w:r>
        <w:rPr>
          <w:rFonts w:hint="eastAsia" w:ascii="仿宋" w:hAnsi="仿宋" w:eastAsia="仿宋" w:cs="仿宋"/>
          <w:sz w:val="30"/>
          <w:lang w:eastAsia="zh-CN"/>
        </w:rPr>
        <w:t>，推荐浏览器：谷歌浏览器、火狐浏览器、360浏览器、搜狗浏览器、IE10及以上版本的IE浏览器。</w:t>
      </w:r>
    </w:p>
    <w:p>
      <w:pPr>
        <w:numPr>
          <w:ilvl w:val="0"/>
          <w:numId w:val="0"/>
        </w:numPr>
        <w:rPr>
          <w:rFonts w:hint="eastAsia" w:ascii="仿宋" w:hAnsi="仿宋" w:eastAsia="仿宋"/>
          <w:sz w:val="30"/>
          <w:vertAlign w:val="baseline"/>
          <w:lang w:val="en-US" w:eastAsia="zh-CN"/>
        </w:rPr>
      </w:pPr>
      <w:r>
        <w:rPr>
          <w:rFonts w:hint="eastAsia" w:ascii="仿宋" w:hAnsi="仿宋" w:eastAsia="仿宋"/>
          <w:sz w:val="30"/>
          <w:highlight w:val="yellow"/>
          <w:vertAlign w:val="baseline"/>
          <w:lang w:val="en-US" w:eastAsia="zh-CN"/>
        </w:rPr>
        <w:t>单位管理员原始登录账号及密码见本文件最后一页</w:t>
      </w:r>
      <w:r>
        <w:rPr>
          <w:rFonts w:hint="eastAsia" w:ascii="仿宋" w:hAnsi="仿宋" w:eastAsia="仿宋"/>
          <w:sz w:val="30"/>
          <w:vertAlign w:val="baseli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803" w:firstLineChars="200"/>
        <w:jc w:val="left"/>
        <w:textAlignment w:val="auto"/>
        <w:rPr>
          <w:rFonts w:hint="default" w:ascii="仿宋" w:hAnsi="仿宋" w:eastAsia="仿宋" w:cs="仿宋"/>
          <w:b/>
          <w:bCs/>
          <w:sz w:val="40"/>
          <w:szCs w:val="48"/>
          <w:lang w:val="en-US" w:eastAsia="zh-CN"/>
        </w:rPr>
      </w:pPr>
      <w:r>
        <w:rPr>
          <w:rFonts w:hint="eastAsia" w:ascii="仿宋" w:hAnsi="仿宋" w:eastAsia="仿宋" w:cs="仿宋"/>
          <w:b/>
          <w:bCs/>
          <w:sz w:val="40"/>
          <w:szCs w:val="48"/>
          <w:lang w:val="en-US" w:eastAsia="zh-CN"/>
        </w:rPr>
        <w:t>审核入口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00" w:firstLineChars="200"/>
        <w:jc w:val="both"/>
        <w:textAlignment w:val="auto"/>
        <w:rPr>
          <w:rFonts w:hint="eastAsia" w:ascii="仿宋" w:hAnsi="仿宋" w:eastAsia="仿宋" w:cs="仿宋"/>
          <w:sz w:val="30"/>
          <w:lang w:val="en-US" w:eastAsia="zh-CN"/>
        </w:rPr>
      </w:pPr>
      <w:r>
        <w:rPr>
          <w:rFonts w:hint="eastAsia" w:ascii="仿宋" w:hAnsi="仿宋" w:eastAsia="仿宋" w:cs="仿宋"/>
          <w:sz w:val="30"/>
          <w:lang w:val="en-US" w:eastAsia="zh-CN"/>
        </w:rPr>
        <w:t>登录系统后，点击右上角旧版管理后台，再点击顶部导航栏的“国家平台上报”入口，可进入国家平台上报模块。</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pPr>
      <w:r>
        <w:drawing>
          <wp:inline distT="0" distB="0" distL="114300" distR="114300">
            <wp:extent cx="5271770" cy="2796540"/>
            <wp:effectExtent l="0" t="0" r="508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770" cy="27965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rPr>
          <w:rFonts w:hint="default"/>
          <w:lang w:val="en-US" w:eastAsia="zh-CN"/>
        </w:rPr>
      </w:pPr>
      <w:r>
        <w:drawing>
          <wp:inline distT="0" distB="0" distL="114300" distR="114300">
            <wp:extent cx="5271770" cy="3475990"/>
            <wp:effectExtent l="0" t="0" r="5080" b="1016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71770" cy="3475990"/>
                    </a:xfrm>
                    <a:prstGeom prst="rect">
                      <a:avLst/>
                    </a:prstGeom>
                    <a:noFill/>
                    <a:ln>
                      <a:noFill/>
                    </a:ln>
                  </pic:spPr>
                </pic:pic>
              </a:graphicData>
            </a:graphic>
          </wp:inline>
        </w:drawing>
      </w:r>
    </w:p>
    <w:p>
      <w:pPr>
        <w:ind w:firstLine="420"/>
        <w:rPr>
          <w:rFonts w:hint="eastAsia"/>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803" w:firstLineChars="200"/>
        <w:jc w:val="left"/>
        <w:textAlignment w:val="auto"/>
        <w:rPr>
          <w:rFonts w:hint="default" w:ascii="仿宋" w:hAnsi="仿宋" w:eastAsia="仿宋" w:cs="仿宋"/>
          <w:b/>
          <w:bCs/>
          <w:sz w:val="40"/>
          <w:szCs w:val="48"/>
          <w:lang w:val="en-US" w:eastAsia="zh-CN"/>
        </w:rPr>
      </w:pPr>
      <w:r>
        <w:rPr>
          <w:rFonts w:hint="eastAsia" w:ascii="仿宋" w:hAnsi="仿宋" w:eastAsia="仿宋" w:cs="仿宋"/>
          <w:b/>
          <w:bCs/>
          <w:sz w:val="40"/>
          <w:szCs w:val="48"/>
          <w:lang w:val="en-US" w:eastAsia="zh-CN"/>
        </w:rPr>
        <w:t>贵重仪器设备审核</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00" w:firstLineChars="200"/>
        <w:jc w:val="both"/>
        <w:textAlignment w:val="auto"/>
        <w:rPr>
          <w:rFonts w:hint="default" w:ascii="仿宋" w:hAnsi="仿宋" w:eastAsia="仿宋" w:cs="仿宋"/>
          <w:sz w:val="30"/>
          <w:lang w:val="en-US" w:eastAsia="zh-CN"/>
        </w:rPr>
      </w:pPr>
      <w:r>
        <w:rPr>
          <w:rFonts w:hint="eastAsia" w:ascii="仿宋" w:hAnsi="仿宋" w:eastAsia="仿宋" w:cs="仿宋"/>
          <w:sz w:val="30"/>
          <w:lang w:val="en-US" w:eastAsia="zh-CN"/>
        </w:rPr>
        <w:t>填报任务发起后，单位管理员可查看单位下的所有仪器、审核已填报的仪器。</w:t>
      </w:r>
      <w:r>
        <w:rPr>
          <w:rFonts w:hint="eastAsia" w:ascii="仿宋" w:hAnsi="仿宋" w:eastAsia="仿宋" w:cs="仿宋"/>
          <w:sz w:val="30"/>
          <w:highlight w:val="yellow"/>
          <w:lang w:val="en-US" w:eastAsia="zh-CN"/>
        </w:rPr>
        <w:t>点击单位审核—需填报下方数字—操作下方的审核，对设备进行审核</w:t>
      </w:r>
      <w:r>
        <w:rPr>
          <w:rFonts w:hint="eastAsia" w:ascii="仿宋" w:hAnsi="仿宋" w:eastAsia="仿宋" w:cs="仿宋"/>
          <w:sz w:val="30"/>
          <w:lang w:val="en-US" w:eastAsia="zh-CN"/>
        </w:rPr>
        <w:t>。可以选择通过与不通过，如不通过，需要联系设备管理员修改后重新提交。根据审核状态，及时跟进设备管理员填报情况。</w:t>
      </w:r>
    </w:p>
    <w:p>
      <w:pPr>
        <w:ind w:firstLine="0" w:firstLineChars="0"/>
      </w:pPr>
      <w:r>
        <w:drawing>
          <wp:inline distT="0" distB="0" distL="114300" distR="114300">
            <wp:extent cx="5949950" cy="1054100"/>
            <wp:effectExtent l="0" t="0" r="12700" b="1270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6"/>
                    <a:stretch>
                      <a:fillRect/>
                    </a:stretch>
                  </pic:blipFill>
                  <pic:spPr>
                    <a:xfrm>
                      <a:off x="0" y="0"/>
                      <a:ext cx="5949950" cy="1054100"/>
                    </a:xfrm>
                    <a:prstGeom prst="rect">
                      <a:avLst/>
                    </a:prstGeom>
                    <a:noFill/>
                    <a:ln>
                      <a:noFill/>
                    </a:ln>
                  </pic:spPr>
                </pic:pic>
              </a:graphicData>
            </a:graphic>
          </wp:inline>
        </w:drawing>
      </w:r>
    </w:p>
    <w:p>
      <w:pPr>
        <w:ind w:firstLine="0" w:firstLineChars="0"/>
      </w:pPr>
      <w:r>
        <w:drawing>
          <wp:inline distT="0" distB="0" distL="114300" distR="114300">
            <wp:extent cx="5967730" cy="963295"/>
            <wp:effectExtent l="0" t="0" r="13970" b="825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7"/>
                    <a:stretch>
                      <a:fillRect/>
                    </a:stretch>
                  </pic:blipFill>
                  <pic:spPr>
                    <a:xfrm>
                      <a:off x="0" y="0"/>
                      <a:ext cx="5967730" cy="963295"/>
                    </a:xfrm>
                    <a:prstGeom prst="rect">
                      <a:avLst/>
                    </a:prstGeom>
                    <a:noFill/>
                    <a:ln>
                      <a:noFill/>
                    </a:ln>
                  </pic:spPr>
                </pic:pic>
              </a:graphicData>
            </a:graphic>
          </wp:inline>
        </w:drawing>
      </w:r>
    </w:p>
    <w:p>
      <w:pPr>
        <w:ind w:firstLine="0" w:firstLineChars="0"/>
      </w:pPr>
      <w:r>
        <w:drawing>
          <wp:inline distT="0" distB="0" distL="114300" distR="114300">
            <wp:extent cx="5260975" cy="1277620"/>
            <wp:effectExtent l="0" t="0" r="15875" b="1778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8"/>
                    <a:stretch>
                      <a:fillRect/>
                    </a:stretch>
                  </pic:blipFill>
                  <pic:spPr>
                    <a:xfrm>
                      <a:off x="0" y="0"/>
                      <a:ext cx="5260975" cy="1277620"/>
                    </a:xfrm>
                    <a:prstGeom prst="rect">
                      <a:avLst/>
                    </a:prstGeom>
                    <a:noFill/>
                    <a:ln>
                      <a:noFill/>
                    </a:ln>
                  </pic:spPr>
                </pic:pic>
              </a:graphicData>
            </a:graphic>
          </wp:inline>
        </w:drawing>
      </w:r>
    </w:p>
    <w:p>
      <w:pPr>
        <w:ind w:firstLine="0" w:firstLineChars="0"/>
      </w:pPr>
    </w:p>
    <w:p>
      <w:pPr>
        <w:ind w:firstLine="0" w:firstLineChars="0"/>
        <w:rPr>
          <w:rFonts w:hAnsi="微软雅黑"/>
        </w:rPr>
      </w:pPr>
    </w:p>
    <w:p>
      <w:pPr>
        <w:ind w:firstLine="0" w:firstLineChars="0"/>
        <w:rPr>
          <w:rFonts w:hAnsi="微软雅黑"/>
        </w:rPr>
      </w:pPr>
    </w:p>
    <w:p>
      <w:pPr>
        <w:pStyle w:val="6"/>
        <w:numPr>
          <w:ilvl w:val="0"/>
          <w:numId w:val="2"/>
        </w:numPr>
        <w:ind w:left="0" w:leftChars="0" w:firstLine="803" w:firstLineChars="200"/>
        <w:rPr>
          <w:rFonts w:hint="eastAsia" w:ascii="仿宋" w:hAnsi="仿宋" w:eastAsia="仿宋" w:cs="仿宋"/>
          <w:b/>
          <w:bCs/>
          <w:sz w:val="40"/>
          <w:szCs w:val="48"/>
          <w:lang w:val="en-US" w:eastAsia="zh-CN"/>
        </w:rPr>
      </w:pPr>
      <w:r>
        <w:rPr>
          <w:rFonts w:hint="eastAsia" w:ascii="仿宋" w:hAnsi="仿宋" w:eastAsia="仿宋" w:cs="仿宋"/>
          <w:b/>
          <w:bCs/>
          <w:sz w:val="40"/>
          <w:szCs w:val="48"/>
          <w:lang w:val="en-US" w:eastAsia="zh-CN"/>
        </w:rPr>
        <w:t>填写单位自评报告</w:t>
      </w:r>
    </w:p>
    <w:p>
      <w:pPr>
        <w:pStyle w:val="6"/>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单位管理员需填写单位自评报告，</w:t>
      </w:r>
      <w:r>
        <w:rPr>
          <w:rFonts w:hint="eastAsia" w:ascii="仿宋" w:hAnsi="仿宋" w:eastAsia="仿宋" w:cs="仿宋"/>
          <w:kern w:val="2"/>
          <w:sz w:val="30"/>
          <w:szCs w:val="30"/>
          <w:highlight w:val="yellow"/>
          <w:lang w:val="en-US" w:eastAsia="zh-CN" w:bidi="ar-SA"/>
        </w:rPr>
        <w:t>系统开放即可开始文字部分的填写，填写后选择暂存</w:t>
      </w:r>
      <w:r>
        <w:rPr>
          <w:rFonts w:hint="eastAsia" w:ascii="仿宋" w:hAnsi="仿宋" w:eastAsia="仿宋" w:cs="仿宋"/>
          <w:kern w:val="2"/>
          <w:sz w:val="30"/>
          <w:szCs w:val="30"/>
          <w:lang w:val="en-US" w:eastAsia="zh-CN" w:bidi="ar-SA"/>
        </w:rPr>
        <w:t>。在填报任务列表，点击…（更多按钮）显示自评报告入口。</w:t>
      </w:r>
    </w:p>
    <w:p>
      <w:pPr>
        <w:ind w:firstLine="0" w:firstLineChars="0"/>
        <w:rPr>
          <w:rFonts w:hint="eastAsia" w:hAnsi="微软雅黑" w:eastAsiaTheme="minorEastAsia"/>
          <w:lang w:eastAsia="zh-CN"/>
        </w:rPr>
      </w:pPr>
    </w:p>
    <w:p>
      <w:pPr>
        <w:ind w:firstLine="420" w:firstLineChars="0"/>
        <w:rPr>
          <w:rFonts w:hint="eastAsia" w:hAnsi="微软雅黑"/>
        </w:rPr>
      </w:pPr>
      <w:r>
        <w:drawing>
          <wp:inline distT="0" distB="0" distL="114300" distR="114300">
            <wp:extent cx="5271770" cy="1136015"/>
            <wp:effectExtent l="0" t="0" r="5080" b="698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9"/>
                    <a:stretch>
                      <a:fillRect/>
                    </a:stretch>
                  </pic:blipFill>
                  <pic:spPr>
                    <a:xfrm>
                      <a:off x="0" y="0"/>
                      <a:ext cx="5271770" cy="1136015"/>
                    </a:xfrm>
                    <a:prstGeom prst="rect">
                      <a:avLst/>
                    </a:prstGeom>
                    <a:noFill/>
                    <a:ln>
                      <a:noFill/>
                    </a:ln>
                  </pic:spPr>
                </pic:pic>
              </a:graphicData>
            </a:graphic>
          </wp:inline>
        </w:drawing>
      </w:r>
    </w:p>
    <w:p>
      <w:pPr>
        <w:ind w:firstLine="420" w:firstLineChars="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仪器统计在所有设备审核通过后自动生成。单位管理员需填写创新成效等其他信息。</w:t>
      </w:r>
    </w:p>
    <w:p>
      <w:pPr>
        <w:ind w:firstLine="420" w:firstLineChars="0"/>
        <w:rPr>
          <w:rFonts w:hint="eastAsia" w:ascii="仿宋" w:hAnsi="仿宋" w:eastAsia="仿宋" w:cs="仿宋"/>
          <w:color w:val="C00000"/>
          <w:kern w:val="2"/>
          <w:sz w:val="30"/>
          <w:szCs w:val="30"/>
          <w:lang w:val="en-US" w:eastAsia="zh-CN" w:bidi="ar-SA"/>
        </w:rPr>
      </w:pPr>
      <w:r>
        <w:rPr>
          <w:rFonts w:hint="eastAsia" w:ascii="仿宋" w:hAnsi="仿宋" w:eastAsia="仿宋" w:cs="仿宋"/>
          <w:kern w:val="2"/>
          <w:sz w:val="30"/>
          <w:szCs w:val="30"/>
          <w:highlight w:val="yellow"/>
          <w:lang w:val="en-US" w:eastAsia="zh-CN" w:bidi="ar-SA"/>
        </w:rPr>
        <w:t>运行服务成效</w:t>
      </w:r>
      <w:r>
        <w:rPr>
          <w:rFonts w:hint="eastAsia" w:ascii="仿宋" w:hAnsi="仿宋" w:eastAsia="仿宋" w:cs="仿宋"/>
          <w:kern w:val="2"/>
          <w:sz w:val="30"/>
          <w:szCs w:val="30"/>
          <w:lang w:val="en-US" w:eastAsia="zh-CN" w:bidi="ar-SA"/>
        </w:rPr>
        <w:t>：本单位仪器在</w:t>
      </w:r>
      <w:r>
        <w:rPr>
          <w:rFonts w:hint="eastAsia" w:ascii="仿宋" w:hAnsi="仿宋" w:eastAsia="仿宋" w:cs="仿宋"/>
          <w:kern w:val="2"/>
          <w:sz w:val="30"/>
          <w:szCs w:val="30"/>
          <w:highlight w:val="yellow"/>
          <w:lang w:val="en-US" w:eastAsia="zh-CN" w:bidi="ar-SA"/>
        </w:rPr>
        <w:t>2021年</w:t>
      </w:r>
      <w:r>
        <w:rPr>
          <w:rFonts w:hint="eastAsia" w:ascii="仿宋" w:hAnsi="仿宋" w:eastAsia="仿宋" w:cs="仿宋"/>
          <w:kern w:val="2"/>
          <w:sz w:val="30"/>
          <w:szCs w:val="30"/>
          <w:lang w:val="en-US" w:eastAsia="zh-CN" w:bidi="ar-SA"/>
        </w:rPr>
        <w:t>的运行使用总体情况， 深度挖掘支撑服务重大科研任务情况等，重点评价相关研究成果的产出、水平与贡献。</w:t>
      </w:r>
      <w:r>
        <w:rPr>
          <w:rFonts w:hint="eastAsia" w:ascii="仿宋" w:hAnsi="仿宋" w:eastAsia="仿宋" w:cs="仿宋"/>
          <w:color w:val="C00000"/>
          <w:kern w:val="2"/>
          <w:sz w:val="30"/>
          <w:szCs w:val="30"/>
          <w:lang w:val="en-US" w:eastAsia="zh-CN" w:bidi="ar-SA"/>
        </w:rPr>
        <w:t>先全面概括+5个有特色有亮点的突出案例。</w:t>
      </w:r>
    </w:p>
    <w:p>
      <w:pPr>
        <w:ind w:firstLine="420" w:firstLineChars="0"/>
        <w:rPr>
          <w:rFonts w:hint="eastAsia" w:ascii="仿宋" w:hAnsi="仿宋" w:eastAsia="仿宋" w:cs="仿宋"/>
          <w:color w:val="C00000"/>
          <w:kern w:val="2"/>
          <w:sz w:val="30"/>
          <w:szCs w:val="30"/>
          <w:lang w:val="en-US" w:eastAsia="zh-CN" w:bidi="ar-SA"/>
        </w:rPr>
      </w:pPr>
      <w:r>
        <w:rPr>
          <w:rFonts w:hint="default" w:ascii="仿宋" w:hAnsi="仿宋" w:eastAsia="仿宋" w:cs="仿宋"/>
          <w:kern w:val="2"/>
          <w:sz w:val="30"/>
          <w:szCs w:val="30"/>
          <w:highlight w:val="yellow"/>
          <w:lang w:val="en-US" w:eastAsia="zh-CN" w:bidi="ar-SA"/>
        </w:rPr>
        <w:t>对外服务成效</w:t>
      </w:r>
      <w:r>
        <w:rPr>
          <w:rFonts w:hint="eastAsia" w:ascii="仿宋" w:hAnsi="仿宋" w:eastAsia="仿宋" w:cs="仿宋"/>
          <w:kern w:val="2"/>
          <w:sz w:val="30"/>
          <w:szCs w:val="30"/>
          <w:lang w:val="en-US" w:eastAsia="zh-CN" w:bidi="ar-SA"/>
        </w:rPr>
        <w:t>：</w:t>
      </w:r>
      <w:r>
        <w:rPr>
          <w:rFonts w:hint="default" w:ascii="仿宋" w:hAnsi="仿宋" w:eastAsia="仿宋" w:cs="仿宋"/>
          <w:kern w:val="2"/>
          <w:sz w:val="30"/>
          <w:szCs w:val="30"/>
          <w:lang w:val="en-US" w:eastAsia="zh-CN" w:bidi="ar-SA"/>
        </w:rPr>
        <w:t>法人单位在</w:t>
      </w:r>
      <w:r>
        <w:rPr>
          <w:rFonts w:hint="default" w:ascii="仿宋" w:hAnsi="仿宋" w:eastAsia="仿宋" w:cs="仿宋"/>
          <w:kern w:val="2"/>
          <w:sz w:val="30"/>
          <w:szCs w:val="30"/>
          <w:highlight w:val="yellow"/>
          <w:lang w:val="en-US" w:eastAsia="zh-CN" w:bidi="ar-SA"/>
        </w:rPr>
        <w:t>2021年</w:t>
      </w:r>
      <w:r>
        <w:rPr>
          <w:rFonts w:hint="default" w:ascii="仿宋" w:hAnsi="仿宋" w:eastAsia="仿宋" w:cs="仿宋"/>
          <w:kern w:val="2"/>
          <w:sz w:val="30"/>
          <w:szCs w:val="30"/>
          <w:lang w:val="en-US" w:eastAsia="zh-CN" w:bidi="ar-SA"/>
        </w:rPr>
        <w:t>利用本单位科研设施与仪器支撑外部个体和机构开展科技创新的成效。</w:t>
      </w:r>
      <w:r>
        <w:rPr>
          <w:rFonts w:hint="eastAsia" w:ascii="仿宋" w:hAnsi="仿宋" w:eastAsia="仿宋" w:cs="仿宋"/>
          <w:color w:val="C00000"/>
          <w:kern w:val="2"/>
          <w:sz w:val="30"/>
          <w:szCs w:val="30"/>
          <w:lang w:val="en-US" w:eastAsia="zh-CN" w:bidi="ar-SA"/>
        </w:rPr>
        <w:t>先全面概括+5个有特色有亮点的突出案例。</w:t>
      </w:r>
    </w:p>
    <w:p>
      <w:pPr>
        <w:rPr>
          <w:rFonts w:hint="eastAsia" w:ascii="仿宋" w:hAnsi="仿宋" w:eastAsia="仿宋" w:cs="仿宋"/>
          <w:kern w:val="2"/>
          <w:sz w:val="30"/>
          <w:szCs w:val="30"/>
          <w:lang w:val="en-US" w:eastAsia="zh-CN" w:bidi="ar-SA"/>
        </w:rPr>
      </w:pPr>
    </w:p>
    <w:p>
      <w:pPr>
        <w:ind w:firstLine="0" w:firstLineChars="0"/>
      </w:pPr>
      <w:r>
        <w:drawing>
          <wp:inline distT="0" distB="0" distL="0" distR="0">
            <wp:extent cx="5274310" cy="1496695"/>
            <wp:effectExtent l="0" t="0" r="254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0"/>
                    <a:stretch>
                      <a:fillRect/>
                    </a:stretch>
                  </pic:blipFill>
                  <pic:spPr>
                    <a:xfrm>
                      <a:off x="0" y="0"/>
                      <a:ext cx="5274310" cy="1496695"/>
                    </a:xfrm>
                    <a:prstGeom prst="rect">
                      <a:avLst/>
                    </a:prstGeom>
                  </pic:spPr>
                </pic:pic>
              </a:graphicData>
            </a:graphic>
          </wp:inline>
        </w:drawing>
      </w:r>
    </w:p>
    <w:p>
      <w:pPr>
        <w:ind w:firstLine="0" w:firstLineChars="0"/>
        <w:rPr>
          <w:rFonts w:ascii="微软雅黑" w:hAnsi="微软雅黑" w:eastAsia="微软雅黑" w:cs="微软雅黑"/>
          <w:b/>
          <w:bCs/>
        </w:rPr>
      </w:pPr>
      <w:r>
        <w:drawing>
          <wp:inline distT="0" distB="0" distL="114300" distR="114300">
            <wp:extent cx="5269230" cy="2741930"/>
            <wp:effectExtent l="0" t="0" r="7620" b="127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1"/>
                    <a:stretch>
                      <a:fillRect/>
                    </a:stretch>
                  </pic:blipFill>
                  <pic:spPr>
                    <a:xfrm>
                      <a:off x="0" y="0"/>
                      <a:ext cx="5269230" cy="2741930"/>
                    </a:xfrm>
                    <a:prstGeom prst="rect">
                      <a:avLst/>
                    </a:prstGeom>
                    <a:noFill/>
                    <a:ln>
                      <a:noFill/>
                    </a:ln>
                  </pic:spPr>
                </pic:pic>
              </a:graphicData>
            </a:graphic>
          </wp:inline>
        </w:drawing>
      </w:r>
      <w:bookmarkStart w:id="0" w:name="_GoBack"/>
      <w:bookmarkEnd w:id="0"/>
    </w:p>
    <w:p>
      <w:pPr>
        <w:rPr>
          <w:rFonts w:hint="default" w:ascii="仿宋" w:hAnsi="仿宋" w:eastAsia="仿宋"/>
          <w:sz w:val="30"/>
          <w:vertAlign w:val="baseline"/>
          <w:lang w:val="en-US" w:eastAsia="zh-CN"/>
        </w:rPr>
      </w:pPr>
    </w:p>
    <w:p>
      <w:pPr>
        <w:numPr>
          <w:ilvl w:val="0"/>
          <w:numId w:val="0"/>
        </w:numPr>
        <w:ind w:leftChars="200"/>
        <w:jc w:val="center"/>
        <w:rPr>
          <w:rFonts w:hint="eastAsia" w:ascii="仿宋" w:hAnsi="仿宋" w:eastAsia="仿宋" w:cs="仿宋"/>
          <w:b/>
          <w:bCs/>
          <w:kern w:val="2"/>
          <w:sz w:val="40"/>
          <w:szCs w:val="48"/>
          <w:lang w:val="en-US" w:eastAsia="zh-CN" w:bidi="ar-SA"/>
        </w:rPr>
      </w:pPr>
    </w:p>
    <w:p>
      <w:pPr>
        <w:numPr>
          <w:ilvl w:val="0"/>
          <w:numId w:val="0"/>
        </w:numPr>
        <w:ind w:leftChars="200"/>
        <w:jc w:val="center"/>
        <w:rPr>
          <w:rFonts w:hint="eastAsia" w:ascii="仿宋" w:hAnsi="仿宋" w:eastAsia="仿宋" w:cs="仿宋"/>
          <w:b/>
          <w:bCs/>
          <w:kern w:val="2"/>
          <w:sz w:val="40"/>
          <w:szCs w:val="48"/>
          <w:lang w:val="en-US" w:eastAsia="zh-CN" w:bidi="ar-SA"/>
        </w:rPr>
      </w:pPr>
    </w:p>
    <w:p>
      <w:pPr>
        <w:numPr>
          <w:ilvl w:val="0"/>
          <w:numId w:val="0"/>
        </w:numPr>
        <w:ind w:leftChars="200"/>
        <w:jc w:val="center"/>
        <w:rPr>
          <w:rFonts w:hint="eastAsia" w:ascii="仿宋" w:hAnsi="仿宋" w:eastAsia="仿宋" w:cs="仿宋"/>
          <w:b/>
          <w:bCs/>
          <w:kern w:val="2"/>
          <w:sz w:val="40"/>
          <w:szCs w:val="48"/>
          <w:lang w:val="en-US" w:eastAsia="zh-CN" w:bidi="ar-SA"/>
        </w:rPr>
      </w:pPr>
    </w:p>
    <w:p>
      <w:pPr>
        <w:numPr>
          <w:ilvl w:val="0"/>
          <w:numId w:val="0"/>
        </w:numPr>
        <w:ind w:leftChars="200"/>
        <w:jc w:val="center"/>
        <w:rPr>
          <w:rFonts w:hint="eastAsia" w:ascii="仿宋" w:hAnsi="仿宋" w:eastAsia="仿宋" w:cs="仿宋"/>
          <w:b/>
          <w:bCs/>
          <w:kern w:val="2"/>
          <w:sz w:val="40"/>
          <w:szCs w:val="48"/>
          <w:lang w:val="en-US" w:eastAsia="zh-CN" w:bidi="ar-SA"/>
        </w:rPr>
        <w:sectPr>
          <w:pgSz w:w="11906" w:h="16838"/>
          <w:pgMar w:top="1440" w:right="1800" w:bottom="1440" w:left="1800" w:header="851" w:footer="992" w:gutter="0"/>
          <w:cols w:space="425" w:num="1"/>
          <w:docGrid w:type="lines" w:linePitch="312" w:charSpace="0"/>
        </w:sectPr>
      </w:pPr>
    </w:p>
    <w:p>
      <w:pPr>
        <w:numPr>
          <w:ilvl w:val="0"/>
          <w:numId w:val="0"/>
        </w:numPr>
        <w:ind w:leftChars="200"/>
        <w:jc w:val="center"/>
        <w:rPr>
          <w:rFonts w:hint="default" w:ascii="仿宋" w:hAnsi="仿宋" w:eastAsia="仿宋"/>
          <w:sz w:val="30"/>
          <w:vertAlign w:val="baseline"/>
          <w:lang w:val="en-US" w:eastAsia="zh-CN"/>
        </w:rPr>
      </w:pPr>
      <w:r>
        <w:rPr>
          <w:rFonts w:hint="eastAsia" w:ascii="仿宋" w:hAnsi="仿宋" w:eastAsia="仿宋" w:cs="仿宋"/>
          <w:b/>
          <w:bCs/>
          <w:kern w:val="2"/>
          <w:sz w:val="40"/>
          <w:szCs w:val="48"/>
          <w:lang w:val="en-US" w:eastAsia="zh-CN" w:bidi="ar-SA"/>
        </w:rPr>
        <w:t>单位管理员登录账号及密码</w:t>
      </w:r>
    </w:p>
    <w:tbl>
      <w:tblPr>
        <w:tblStyle w:val="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4415"/>
        <w:gridCol w:w="4419"/>
        <w:gridCol w:w="4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eastAsia" w:ascii="Times New Roman" w:hAnsi="Times New Roman" w:eastAsia="仿宋" w:cs="Times New Roman"/>
                <w:color w:val="auto"/>
                <w:sz w:val="24"/>
                <w:szCs w:val="24"/>
                <w:vertAlign w:val="baseline"/>
                <w:lang w:val="en-US" w:eastAsia="zh-CN"/>
              </w:rPr>
              <w:t>序号</w:t>
            </w:r>
          </w:p>
        </w:tc>
        <w:tc>
          <w:tcPr>
            <w:tcW w:w="1558" w:type="pct"/>
            <w:vAlign w:val="center"/>
          </w:tcPr>
          <w:p>
            <w:pPr>
              <w:numPr>
                <w:ilvl w:val="0"/>
                <w:numId w:val="0"/>
              </w:numPr>
              <w:ind w:left="0" w:leftChars="0" w:firstLine="0" w:firstLineChars="0"/>
              <w:jc w:val="center"/>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学院</w:t>
            </w:r>
          </w:p>
        </w:tc>
        <w:tc>
          <w:tcPr>
            <w:tcW w:w="1559" w:type="pct"/>
            <w:vAlign w:val="center"/>
          </w:tcPr>
          <w:p>
            <w:pPr>
              <w:numPr>
                <w:ilvl w:val="0"/>
                <w:numId w:val="0"/>
              </w:numPr>
              <w:ind w:left="0" w:leftChars="0" w:firstLine="0" w:firstLineChars="0"/>
              <w:jc w:val="center"/>
              <w:rPr>
                <w:rFonts w:hint="default" w:ascii="仿宋" w:hAnsi="仿宋" w:eastAsia="仿宋"/>
                <w:color w:val="auto"/>
                <w:sz w:val="30"/>
                <w:vertAlign w:val="baseline"/>
                <w:lang w:val="en-US" w:eastAsia="zh-CN"/>
              </w:rPr>
            </w:pPr>
            <w:r>
              <w:rPr>
                <w:rFonts w:hint="eastAsia" w:ascii="宋体" w:hAnsi="宋体" w:eastAsia="宋体" w:cs="宋体"/>
                <w:color w:val="auto"/>
                <w:sz w:val="24"/>
                <w:szCs w:val="24"/>
                <w:vertAlign w:val="baseline"/>
                <w:lang w:val="en-US" w:eastAsia="zh-CN"/>
              </w:rPr>
              <w:t>账号</w:t>
            </w:r>
          </w:p>
        </w:tc>
        <w:tc>
          <w:tcPr>
            <w:tcW w:w="1559" w:type="pct"/>
            <w:vAlign w:val="center"/>
          </w:tcPr>
          <w:p>
            <w:pPr>
              <w:numPr>
                <w:ilvl w:val="0"/>
                <w:numId w:val="0"/>
              </w:numPr>
              <w:ind w:left="0" w:leftChars="0" w:firstLine="0" w:firstLineChars="0"/>
              <w:jc w:val="center"/>
              <w:rPr>
                <w:rFonts w:hint="default" w:ascii="仿宋" w:hAnsi="仿宋" w:eastAsia="仿宋"/>
                <w:b/>
                <w:bCs/>
                <w:color w:val="auto"/>
                <w:sz w:val="30"/>
                <w:vertAlign w:val="baseline"/>
                <w:lang w:val="en-US" w:eastAsia="zh-CN"/>
              </w:rPr>
            </w:pPr>
            <w:r>
              <w:rPr>
                <w:rFonts w:hint="eastAsia" w:ascii="宋体" w:hAnsi="宋体" w:eastAsia="宋体" w:cs="宋体"/>
                <w:color w:val="auto"/>
                <w:sz w:val="24"/>
                <w:szCs w:val="24"/>
                <w:vertAlign w:val="baseline"/>
                <w:lang w:val="en-US" w:eastAsia="zh-CN"/>
              </w:rPr>
              <w:t>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文学院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文学院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文学院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新闻与传播学院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新闻与传播学院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新闻与传播学院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3</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管理学院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管理学院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管理学院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4</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理工学院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理工学院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5</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信息科学技术学院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信息科学技术学院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信息科学技术学院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6</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生命科学技术学院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生命科学技术学院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生命科学技术学院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7</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药学院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药学院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8</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华文学院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华文学院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华文学院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9</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环境学院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环境学院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环境学院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10</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光子技术研究院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光子技术研究院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光子技术研究院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11</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质谱仪器与大气环境研究所</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质谱仪器与大气环境研究所</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质谱仪器与大气环境研究所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12</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粤港澳中枢神经再生研究院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粤港澳中枢神经再生研究院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粤港澳中枢神经再生研究院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13</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先进耐磨蚀及功能材料研究院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先进耐磨蚀及功能材料研究院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先进耐磨蚀及功能材料研究院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14</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化学与材料学院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化学与材料学院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化学与材料学院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15</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纳米光子学研究院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纳米光子学研究院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纳米光子学研究院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16</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环境与气候研究院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环境与气候研究院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环境与气候研究院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17</w:t>
            </w:r>
          </w:p>
        </w:tc>
        <w:tc>
          <w:tcPr>
            <w:tcW w:w="1558" w:type="pct"/>
            <w:vAlign w:val="center"/>
          </w:tcPr>
          <w:p>
            <w:pPr>
              <w:keepNext w:val="0"/>
              <w:keepLines w:val="0"/>
              <w:widowControl/>
              <w:suppressLineNumbers w:val="0"/>
              <w:jc w:val="center"/>
              <w:textAlignment w:val="bottom"/>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新能源技术研究院</w:t>
            </w:r>
          </w:p>
        </w:tc>
        <w:tc>
          <w:tcPr>
            <w:tcW w:w="1559" w:type="pct"/>
            <w:vAlign w:val="center"/>
          </w:tcPr>
          <w:p>
            <w:pPr>
              <w:keepNext w:val="0"/>
              <w:keepLines w:val="0"/>
              <w:widowControl/>
              <w:suppressLineNumbers w:val="0"/>
              <w:jc w:val="center"/>
              <w:textAlignment w:val="bottom"/>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新能源技术研究院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新能源技术研究院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18</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力学与建筑工程学院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力学与建筑工程学院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力学与建筑工程学院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19</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基础医学与公共卫生学院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基础医学与公共卫生学院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基础医学与公共卫生学院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20</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中医学院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中医学院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中医学院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21</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衰老与再生医学研究院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衰老与再生医学研究院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衰老与再生医学研究院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22</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护理学院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护理学院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护理学院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23</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包装工程学院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包装工程学院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包装工程学院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24</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先进与应用化学合成研究院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先进与应用化学合成研究院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先进与应用化学合成研究院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w:t>
            </w:r>
            <w:r>
              <w:rPr>
                <w:rFonts w:hint="eastAsia" w:ascii="Times New Roman" w:hAnsi="Times New Roman" w:eastAsia="仿宋" w:cs="Times New Roman"/>
                <w:color w:val="auto"/>
                <w:sz w:val="24"/>
                <w:szCs w:val="24"/>
                <w:vertAlign w:val="baseline"/>
                <w:lang w:val="en-US" w:eastAsia="zh-CN"/>
              </w:rPr>
              <w:t>5</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病原微生物研究院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病原微生物研究院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病原微生物研究院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w:t>
            </w:r>
            <w:r>
              <w:rPr>
                <w:rFonts w:hint="eastAsia" w:ascii="Times New Roman" w:hAnsi="Times New Roman" w:eastAsia="仿宋" w:cs="Times New Roman"/>
                <w:color w:val="auto"/>
                <w:sz w:val="24"/>
                <w:szCs w:val="24"/>
                <w:vertAlign w:val="baseline"/>
                <w:lang w:val="en-US" w:eastAsia="zh-CN"/>
              </w:rPr>
              <w:t>6</w:t>
            </w:r>
          </w:p>
        </w:tc>
        <w:tc>
          <w:tcPr>
            <w:tcW w:w="1558" w:type="pct"/>
            <w:vAlign w:val="center"/>
          </w:tcPr>
          <w:p>
            <w:pPr>
              <w:keepNext w:val="0"/>
              <w:keepLines w:val="0"/>
              <w:widowControl/>
              <w:suppressLineNumbers w:val="0"/>
              <w:jc w:val="center"/>
              <w:textAlignment w:val="bottom"/>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国际能源学院</w:t>
            </w:r>
          </w:p>
        </w:tc>
        <w:tc>
          <w:tcPr>
            <w:tcW w:w="1559" w:type="pct"/>
            <w:vAlign w:val="center"/>
          </w:tcPr>
          <w:p>
            <w:pPr>
              <w:keepNext w:val="0"/>
              <w:keepLines w:val="0"/>
              <w:widowControl/>
              <w:suppressLineNumbers w:val="0"/>
              <w:jc w:val="center"/>
              <w:textAlignment w:val="bottom"/>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国际能源学院</w:t>
            </w:r>
          </w:p>
        </w:tc>
        <w:tc>
          <w:tcPr>
            <w:tcW w:w="1559" w:type="pct"/>
            <w:vAlign w:val="center"/>
          </w:tcPr>
          <w:p>
            <w:pPr>
              <w:keepNext w:val="0"/>
              <w:keepLines w:val="0"/>
              <w:widowControl/>
              <w:suppressLineNumbers w:val="0"/>
              <w:jc w:val="center"/>
              <w:textAlignment w:val="bottom"/>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4"/>
                <w:szCs w:val="24"/>
                <w:u w:val="none"/>
                <w:lang w:val="en-US" w:eastAsia="zh-CN" w:bidi="ar"/>
              </w:rPr>
              <w:t>国际能源学院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w:t>
            </w:r>
            <w:r>
              <w:rPr>
                <w:rFonts w:hint="eastAsia" w:ascii="Times New Roman" w:hAnsi="Times New Roman" w:eastAsia="仿宋" w:cs="Times New Roman"/>
                <w:color w:val="auto"/>
                <w:sz w:val="24"/>
                <w:szCs w:val="24"/>
                <w:vertAlign w:val="baseline"/>
                <w:lang w:val="en-US" w:eastAsia="zh-CN"/>
              </w:rPr>
              <w:t>7</w:t>
            </w:r>
          </w:p>
        </w:tc>
        <w:tc>
          <w:tcPr>
            <w:tcW w:w="1558" w:type="pct"/>
            <w:vAlign w:val="center"/>
          </w:tcPr>
          <w:p>
            <w:pPr>
              <w:keepNext w:val="0"/>
              <w:keepLines w:val="0"/>
              <w:widowControl/>
              <w:suppressLineNumbers w:val="0"/>
              <w:jc w:val="center"/>
              <w:textAlignment w:val="center"/>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第一临床医学院</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第一临床医学院</w:t>
            </w:r>
          </w:p>
        </w:tc>
        <w:tc>
          <w:tcPr>
            <w:tcW w:w="1559" w:type="pct"/>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第一临床医学院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2</w:t>
            </w:r>
            <w:r>
              <w:rPr>
                <w:rFonts w:hint="eastAsia" w:ascii="Times New Roman" w:hAnsi="Times New Roman" w:eastAsia="仿宋" w:cs="Times New Roman"/>
                <w:color w:val="auto"/>
                <w:sz w:val="24"/>
                <w:szCs w:val="24"/>
                <w:vertAlign w:val="baseline"/>
                <w:lang w:val="en-US" w:eastAsia="zh-CN"/>
              </w:rPr>
              <w:t>8</w:t>
            </w:r>
          </w:p>
        </w:tc>
        <w:tc>
          <w:tcPr>
            <w:tcW w:w="1558" w:type="pct"/>
            <w:vAlign w:val="center"/>
          </w:tcPr>
          <w:p>
            <w:pPr>
              <w:keepNext w:val="0"/>
              <w:keepLines w:val="0"/>
              <w:widowControl/>
              <w:suppressLineNumbers w:val="0"/>
              <w:jc w:val="center"/>
              <w:textAlignment w:val="center"/>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华侨医院</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华侨医院</w:t>
            </w:r>
          </w:p>
        </w:tc>
        <w:tc>
          <w:tcPr>
            <w:tcW w:w="1559" w:type="pct"/>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华侨医院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default" w:ascii="Times New Roman" w:hAnsi="Times New Roman" w:eastAsia="仿宋" w:cs="Times New Roman"/>
                <w:color w:val="auto"/>
                <w:sz w:val="24"/>
                <w:szCs w:val="24"/>
                <w:vertAlign w:val="baseline"/>
                <w:lang w:val="en-US" w:eastAsia="zh-CN"/>
              </w:rPr>
              <w:t>3</w:t>
            </w:r>
            <w:r>
              <w:rPr>
                <w:rFonts w:hint="eastAsia" w:ascii="Times New Roman" w:hAnsi="Times New Roman" w:eastAsia="仿宋" w:cs="Times New Roman"/>
                <w:color w:val="auto"/>
                <w:sz w:val="24"/>
                <w:szCs w:val="24"/>
                <w:vertAlign w:val="baseline"/>
                <w:lang w:val="en-US" w:eastAsia="zh-CN"/>
              </w:rPr>
              <w:t>9</w:t>
            </w:r>
          </w:p>
        </w:tc>
        <w:tc>
          <w:tcPr>
            <w:tcW w:w="1558" w:type="pct"/>
            <w:vAlign w:val="center"/>
          </w:tcPr>
          <w:p>
            <w:pPr>
              <w:keepNext w:val="0"/>
              <w:keepLines w:val="0"/>
              <w:widowControl/>
              <w:suppressLineNumbers w:val="0"/>
              <w:jc w:val="center"/>
              <w:textAlignment w:val="center"/>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auto"/>
                <w:kern w:val="0"/>
                <w:sz w:val="24"/>
                <w:szCs w:val="24"/>
                <w:u w:val="none"/>
                <w:lang w:val="en-US" w:eastAsia="zh-CN" w:bidi="ar"/>
              </w:rPr>
              <w:t>实验技术中心</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实验技术中心</w:t>
            </w:r>
          </w:p>
        </w:tc>
        <w:tc>
          <w:tcPr>
            <w:tcW w:w="1559" w:type="pct"/>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实验技术中心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eastAsia" w:ascii="Times New Roman" w:hAnsi="Times New Roman" w:eastAsia="仿宋" w:cs="Times New Roman"/>
                <w:color w:val="auto"/>
                <w:sz w:val="24"/>
                <w:szCs w:val="24"/>
                <w:vertAlign w:val="baseline"/>
                <w:lang w:val="en-US" w:eastAsia="zh-CN"/>
              </w:rPr>
              <w:t>30</w:t>
            </w:r>
          </w:p>
        </w:tc>
        <w:tc>
          <w:tcPr>
            <w:tcW w:w="1558" w:type="pct"/>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实验动物中心</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实验动物中心</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实验动物中心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22" w:type="pct"/>
            <w:vAlign w:val="center"/>
          </w:tcPr>
          <w:p>
            <w:pPr>
              <w:numPr>
                <w:ilvl w:val="0"/>
                <w:numId w:val="0"/>
              </w:numPr>
              <w:jc w:val="center"/>
              <w:rPr>
                <w:rFonts w:hint="default" w:ascii="Times New Roman" w:hAnsi="Times New Roman" w:eastAsia="仿宋" w:cs="Times New Roman"/>
                <w:color w:val="auto"/>
                <w:sz w:val="24"/>
                <w:szCs w:val="24"/>
                <w:vertAlign w:val="baseline"/>
                <w:lang w:val="en-US" w:eastAsia="zh-CN"/>
              </w:rPr>
            </w:pPr>
            <w:r>
              <w:rPr>
                <w:rFonts w:hint="eastAsia" w:ascii="Times New Roman" w:hAnsi="Times New Roman" w:eastAsia="仿宋" w:cs="Times New Roman"/>
                <w:color w:val="auto"/>
                <w:sz w:val="24"/>
                <w:szCs w:val="24"/>
                <w:vertAlign w:val="baseline"/>
                <w:lang w:val="en-US" w:eastAsia="zh-CN"/>
              </w:rPr>
              <w:t>31</w:t>
            </w:r>
          </w:p>
        </w:tc>
        <w:tc>
          <w:tcPr>
            <w:tcW w:w="1558" w:type="pct"/>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肿瘤研究所</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肿瘤研究所</w:t>
            </w:r>
          </w:p>
        </w:tc>
        <w:tc>
          <w:tcPr>
            <w:tcW w:w="1559"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肿瘤研究所</w:t>
            </w:r>
          </w:p>
        </w:tc>
      </w:tr>
    </w:tbl>
    <w:p>
      <w:pPr>
        <w:numPr>
          <w:ilvl w:val="0"/>
          <w:numId w:val="0"/>
        </w:numPr>
        <w:rPr>
          <w:rFonts w:hint="default" w:ascii="仿宋" w:hAnsi="仿宋" w:eastAsia="仿宋"/>
          <w:sz w:val="30"/>
          <w:vertAlign w:val="baseline"/>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9568A"/>
    <w:multiLevelType w:val="multilevel"/>
    <w:tmpl w:val="1019568A"/>
    <w:lvl w:ilvl="0" w:tentative="0">
      <w:start w:val="1"/>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47333D63"/>
    <w:multiLevelType w:val="multilevel"/>
    <w:tmpl w:val="47333D63"/>
    <w:lvl w:ilvl="0" w:tentative="0">
      <w:start w:val="1"/>
      <w:numFmt w:val="decimal"/>
      <w:lvlText w:val="%1."/>
      <w:lvlJc w:val="left"/>
      <w:pPr>
        <w:ind w:left="425" w:hanging="425"/>
      </w:pPr>
      <w:rPr>
        <w:rFonts w:hint="eastAsia"/>
      </w:rPr>
    </w:lvl>
    <w:lvl w:ilvl="1" w:tentative="0">
      <w:start w:val="1"/>
      <w:numFmt w:val="decimal"/>
      <w:pStyle w:val="5"/>
      <w:lvlText w:val="%1.%2."/>
      <w:lvlJc w:val="left"/>
      <w:pPr>
        <w:ind w:left="1276" w:hanging="567"/>
      </w:pPr>
      <w:rPr>
        <w:rFonts w:hint="eastAsia" w:ascii="微软雅黑" w:eastAsia="微软雅黑"/>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06F6A"/>
    <w:rsid w:val="02E35293"/>
    <w:rsid w:val="0BD21CE3"/>
    <w:rsid w:val="2D432319"/>
    <w:rsid w:val="301A2585"/>
    <w:rsid w:val="37EC4BDF"/>
    <w:rsid w:val="3BB60494"/>
    <w:rsid w:val="410E6BD2"/>
    <w:rsid w:val="48E53589"/>
    <w:rsid w:val="4D7749E7"/>
    <w:rsid w:val="509A1825"/>
    <w:rsid w:val="583754A8"/>
    <w:rsid w:val="585B4632"/>
    <w:rsid w:val="5ADD41D7"/>
    <w:rsid w:val="5BD05E58"/>
    <w:rsid w:val="62FA71E2"/>
    <w:rsid w:val="68057CD4"/>
    <w:rsid w:val="68164FD7"/>
    <w:rsid w:val="6A5F275D"/>
    <w:rsid w:val="6CDA0DDD"/>
    <w:rsid w:val="75CE4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样式5"/>
    <w:basedOn w:val="6"/>
    <w:qFormat/>
    <w:uiPriority w:val="0"/>
    <w:pPr>
      <w:numPr>
        <w:ilvl w:val="1"/>
        <w:numId w:val="1"/>
      </w:numPr>
      <w:spacing w:before="280" w:after="270" w:line="480" w:lineRule="auto"/>
      <w:ind w:left="425" w:firstLine="0" w:firstLineChars="0"/>
      <w:outlineLvl w:val="1"/>
    </w:pPr>
    <w:rPr>
      <w:b/>
      <w:sz w:val="32"/>
    </w:rPr>
  </w:style>
  <w:style w:type="paragraph" w:styleId="6">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2021-06-30T01:46:00Z</dcterms:created>
  <dc:creator>cxm</dc:creator>
  <cp:lastModifiedBy>张龙钊</cp:lastModifiedBy>
  <cp:lastPrinted>2022-03-09T06:43:55Z</cp:lastPrinted>
  <dcterms:modified xsi:type="dcterms:W3CDTF">2022-03-09T06:50:50Z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5F6D2A242F98461A9AFE5F76A72B553E</vt:lpwstr>
  </property>
</Properties>
</file>