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04A6CC">
      <w:pPr>
        <w:pStyle w:val="5"/>
        <w:spacing w:before="312" w:beforeAutospacing="0" w:after="312" w:afterAutospacing="0" w:line="360" w:lineRule="auto"/>
        <w:jc w:val="center"/>
        <w:rPr>
          <w:b/>
        </w:rPr>
      </w:pPr>
      <w:r>
        <w:rPr>
          <w:rFonts w:ascii="黑体" w:hAnsi="宋体" w:eastAsia="黑体" w:cs="黑体"/>
          <w:b/>
          <w:color w:val="000000"/>
          <w:sz w:val="32"/>
          <w:szCs w:val="32"/>
        </w:rPr>
        <w:t>全年一次性绩效模板说明</w:t>
      </w:r>
    </w:p>
    <w:p w14:paraId="31F198C2">
      <w:pPr>
        <w:pStyle w:val="5"/>
        <w:spacing w:beforeAutospacing="0" w:afterAutospacing="0"/>
        <w:ind w:firstLine="560"/>
        <w:jc w:val="both"/>
        <w:rPr>
          <w:rFonts w:asciiTheme="majorEastAsia" w:hAnsiTheme="majorEastAsia" w:eastAsiaTheme="majorEastAsia"/>
          <w:sz w:val="28"/>
          <w:szCs w:val="28"/>
        </w:rPr>
      </w:pPr>
      <w:r>
        <w:rPr>
          <w:rFonts w:cs="仿宋" w:asciiTheme="majorEastAsia" w:hAnsiTheme="majorEastAsia" w:eastAsiaTheme="majorEastAsia"/>
          <w:color w:val="000000"/>
          <w:sz w:val="28"/>
          <w:szCs w:val="28"/>
        </w:rPr>
        <w:t>雇员取得除全年一次性绩效以外的其它各种名目绩效，如半年奖、季度奖、加班奖、先进奖、考勤奖等，一律与当月工资、薪金收入合并，按税法规定缴纳个人所得税。请各单位按照国家税务总局的要求，核定发放范围，规定与当月工资薪金合并计税的绩效，不可使用全年一次性绩效模板。</w:t>
      </w:r>
    </w:p>
    <w:p w14:paraId="518FD502">
      <w:pPr>
        <w:pStyle w:val="5"/>
        <w:spacing w:beforeAutospacing="0" w:afterAutospacing="0"/>
        <w:ind w:firstLine="560"/>
        <w:jc w:val="both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cs="仿宋" w:asciiTheme="majorEastAsia" w:hAnsiTheme="majorEastAsia" w:eastAsiaTheme="majorEastAsia"/>
          <w:color w:val="000000"/>
          <w:sz w:val="28"/>
          <w:szCs w:val="28"/>
        </w:rPr>
        <w:t>全年一次性绩效模板共4个，均为无纸化应发模板，发放对象分别为在职教职工及博士后、返聘退休教职工、合同工，具体如下：</w:t>
      </w:r>
    </w:p>
    <w:p w14:paraId="0C3A5DFE">
      <w:pPr>
        <w:pStyle w:val="5"/>
        <w:spacing w:beforeAutospacing="0" w:afterAutospacing="0"/>
        <w:ind w:firstLine="560"/>
        <w:jc w:val="both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cs="仿宋" w:asciiTheme="majorEastAsia" w:hAnsiTheme="majorEastAsia" w:eastAsiaTheme="majorEastAsia"/>
          <w:color w:val="000000"/>
          <w:sz w:val="28"/>
          <w:szCs w:val="28"/>
          <w:u w:val="single"/>
        </w:rPr>
        <w:t>1.《无纸化-全年一次性绩效（教职工）》</w:t>
      </w:r>
    </w:p>
    <w:p w14:paraId="7587DFBB">
      <w:pPr>
        <w:pStyle w:val="5"/>
        <w:spacing w:beforeAutospacing="0" w:afterAutospacing="0"/>
        <w:ind w:firstLine="560"/>
        <w:jc w:val="both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cs="仿宋" w:asciiTheme="majorEastAsia" w:hAnsiTheme="majorEastAsia" w:eastAsiaTheme="majorEastAsia"/>
          <w:color w:val="000000"/>
          <w:sz w:val="28"/>
          <w:szCs w:val="28"/>
        </w:rPr>
        <w:t>适用对象：校本部在职教职工、在站博士后</w:t>
      </w:r>
    </w:p>
    <w:p w14:paraId="5C1C9F21">
      <w:pPr>
        <w:pStyle w:val="5"/>
        <w:spacing w:beforeAutospacing="0" w:afterAutospacing="0"/>
        <w:ind w:firstLine="560"/>
        <w:jc w:val="both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cs="仿宋" w:asciiTheme="majorEastAsia" w:hAnsiTheme="majorEastAsia" w:eastAsiaTheme="majorEastAsia"/>
          <w:color w:val="000000"/>
          <w:sz w:val="28"/>
          <w:szCs w:val="28"/>
          <w:u w:val="single"/>
        </w:rPr>
        <w:t>2.《无纸化-全年一次性绩效（退休返聘）》</w:t>
      </w:r>
    </w:p>
    <w:p w14:paraId="53160181">
      <w:pPr>
        <w:pStyle w:val="5"/>
        <w:spacing w:beforeAutospacing="0" w:afterAutospacing="0"/>
        <w:ind w:firstLine="560"/>
        <w:jc w:val="both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cs="仿宋" w:asciiTheme="majorEastAsia" w:hAnsiTheme="majorEastAsia" w:eastAsiaTheme="majorEastAsia"/>
          <w:color w:val="000000"/>
          <w:sz w:val="28"/>
          <w:szCs w:val="28"/>
        </w:rPr>
        <w:t>适用对象：返聘退休教职工</w:t>
      </w:r>
    </w:p>
    <w:p w14:paraId="798A48ED">
      <w:pPr>
        <w:pStyle w:val="5"/>
        <w:spacing w:beforeAutospacing="0" w:afterAutospacing="0"/>
        <w:ind w:firstLine="560"/>
        <w:jc w:val="both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cs="仿宋" w:asciiTheme="majorEastAsia" w:hAnsiTheme="majorEastAsia" w:eastAsiaTheme="majorEastAsia"/>
          <w:color w:val="000000"/>
          <w:sz w:val="28"/>
          <w:szCs w:val="28"/>
          <w:u w:val="single"/>
        </w:rPr>
        <w:t>3.《无纸化-全年一次性绩效（合同工）》</w:t>
      </w:r>
    </w:p>
    <w:p w14:paraId="3BC604B1">
      <w:pPr>
        <w:pStyle w:val="5"/>
        <w:spacing w:beforeAutospacing="0" w:afterAutospacing="0"/>
        <w:ind w:firstLine="560"/>
        <w:jc w:val="both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cs="仿宋" w:asciiTheme="majorEastAsia" w:hAnsiTheme="majorEastAsia" w:eastAsiaTheme="majorEastAsia"/>
          <w:color w:val="000000"/>
          <w:sz w:val="28"/>
          <w:szCs w:val="28"/>
        </w:rPr>
        <w:t>适用对象：已与暨大签订相关合同的临时人员</w:t>
      </w:r>
    </w:p>
    <w:p w14:paraId="6A3DB121">
      <w:pPr>
        <w:pStyle w:val="5"/>
        <w:spacing w:beforeAutospacing="0" w:afterAutospacing="0"/>
        <w:ind w:firstLine="560"/>
        <w:jc w:val="both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cs="仿宋" w:asciiTheme="majorEastAsia" w:hAnsiTheme="majorEastAsia" w:eastAsiaTheme="majorEastAsia"/>
          <w:color w:val="000000"/>
          <w:sz w:val="28"/>
          <w:szCs w:val="28"/>
          <w:u w:val="single"/>
        </w:rPr>
        <w:t>4.《无纸化-全年一次性绩效（珠海校区报账点专用）》</w:t>
      </w:r>
    </w:p>
    <w:p w14:paraId="4F21CFA8">
      <w:pPr>
        <w:pStyle w:val="5"/>
        <w:spacing w:beforeAutospacing="0" w:afterAutospacing="0"/>
        <w:ind w:firstLine="560"/>
        <w:jc w:val="both"/>
        <w:rPr>
          <w:rFonts w:cs="仿宋" w:asciiTheme="majorEastAsia" w:hAnsiTheme="majorEastAsia" w:eastAsiaTheme="majorEastAsia"/>
          <w:color w:val="000000"/>
          <w:sz w:val="28"/>
          <w:szCs w:val="28"/>
        </w:rPr>
      </w:pPr>
      <w:r>
        <w:rPr>
          <w:rFonts w:hint="eastAsia" w:cs="仿宋" w:asciiTheme="majorEastAsia" w:hAnsiTheme="majorEastAsia" w:eastAsiaTheme="majorEastAsia"/>
          <w:color w:val="000000"/>
          <w:sz w:val="28"/>
          <w:szCs w:val="28"/>
        </w:rPr>
        <w:t>适用对象：珠海校区在职教职工、珠海校区在职合同工</w:t>
      </w:r>
    </w:p>
    <w:p w14:paraId="2DDFD01B">
      <w:pPr>
        <w:pStyle w:val="5"/>
        <w:spacing w:beforeAutospacing="0" w:afterAutospacing="0"/>
        <w:ind w:firstLine="560"/>
        <w:jc w:val="both"/>
        <w:rPr>
          <w:rFonts w:cs="仿宋" w:asciiTheme="majorEastAsia" w:hAnsiTheme="majorEastAsia" w:eastAsiaTheme="majorEastAsia"/>
          <w:color w:val="auto"/>
          <w:sz w:val="28"/>
          <w:szCs w:val="28"/>
        </w:rPr>
      </w:pPr>
      <w:r>
        <w:rPr>
          <w:rFonts w:hint="eastAsia" w:cs="仿宋" w:asciiTheme="majorEastAsia" w:hAnsiTheme="majorEastAsia" w:eastAsiaTheme="majorEastAsia"/>
          <w:b/>
          <w:bCs/>
          <w:color w:val="auto"/>
          <w:sz w:val="28"/>
          <w:szCs w:val="28"/>
        </w:rPr>
        <w:t>（温馨提醒：制单时，珠海校区的在职教职工及合同工</w:t>
      </w:r>
      <w:r>
        <w:rPr>
          <w:rFonts w:cs="仿宋" w:asciiTheme="majorEastAsia" w:hAnsiTheme="majorEastAsia" w:eastAsiaTheme="majorEastAsia"/>
          <w:b/>
          <w:bCs/>
          <w:color w:val="auto"/>
          <w:sz w:val="28"/>
          <w:szCs w:val="28"/>
        </w:rPr>
        <w:t>虽然</w:t>
      </w:r>
      <w:r>
        <w:rPr>
          <w:rFonts w:hint="eastAsia" w:cs="仿宋" w:asciiTheme="majorEastAsia" w:hAnsiTheme="majorEastAsia" w:eastAsiaTheme="majorEastAsia"/>
          <w:b/>
          <w:bCs/>
          <w:color w:val="auto"/>
          <w:sz w:val="28"/>
          <w:szCs w:val="28"/>
          <w:lang w:eastAsia="zh-CN"/>
        </w:rPr>
        <w:t>使用</w:t>
      </w:r>
      <w:r>
        <w:rPr>
          <w:rFonts w:cs="仿宋" w:asciiTheme="majorEastAsia" w:hAnsiTheme="majorEastAsia" w:eastAsiaTheme="majorEastAsia"/>
          <w:b/>
          <w:bCs/>
          <w:color w:val="auto"/>
          <w:sz w:val="28"/>
          <w:szCs w:val="28"/>
        </w:rPr>
        <w:t>同一个模板</w:t>
      </w:r>
      <w:r>
        <w:rPr>
          <w:rFonts w:hint="eastAsia" w:cs="仿宋" w:asciiTheme="majorEastAsia" w:hAnsiTheme="majorEastAsia" w:eastAsiaTheme="majorEastAsia"/>
          <w:b/>
          <w:bCs/>
          <w:color w:val="auto"/>
          <w:sz w:val="28"/>
          <w:szCs w:val="28"/>
        </w:rPr>
        <w:t>，</w:t>
      </w:r>
      <w:r>
        <w:rPr>
          <w:rFonts w:cs="仿宋" w:asciiTheme="majorEastAsia" w:hAnsiTheme="majorEastAsia" w:eastAsiaTheme="majorEastAsia"/>
          <w:b/>
          <w:bCs/>
          <w:color w:val="auto"/>
          <w:sz w:val="28"/>
          <w:szCs w:val="28"/>
        </w:rPr>
        <w:t>但二者须分开制单</w:t>
      </w:r>
      <w:r>
        <w:rPr>
          <w:rFonts w:hint="eastAsia" w:cs="仿宋" w:asciiTheme="majorEastAsia" w:hAnsiTheme="majorEastAsia" w:eastAsiaTheme="majorEastAsia"/>
          <w:b/>
          <w:bCs/>
          <w:color w:val="auto"/>
          <w:sz w:val="28"/>
          <w:szCs w:val="28"/>
        </w:rPr>
        <w:t>）</w:t>
      </w:r>
    </w:p>
    <w:p w14:paraId="6AACACB4">
      <w:pPr>
        <w:pStyle w:val="5"/>
        <w:spacing w:before="312" w:beforeAutospacing="0" w:after="312" w:afterAutospacing="0" w:line="360" w:lineRule="auto"/>
        <w:jc w:val="center"/>
        <w:rPr>
          <w:color w:val="auto"/>
        </w:rPr>
      </w:pPr>
      <w:r>
        <w:rPr>
          <w:color w:val="auto"/>
        </w:rPr>
        <w:t> </w:t>
      </w:r>
      <w:bookmarkStart w:id="0" w:name="_GoBack"/>
      <w:bookmarkEnd w:id="0"/>
    </w:p>
    <w:p w14:paraId="1C9F5E71">
      <w:pPr>
        <w:pStyle w:val="5"/>
        <w:spacing w:before="312" w:beforeAutospacing="0" w:after="312" w:afterAutospacing="0" w:line="360" w:lineRule="auto"/>
        <w:jc w:val="center"/>
        <w:rPr>
          <w:b/>
          <w:sz w:val="44"/>
          <w:szCs w:val="44"/>
        </w:rPr>
      </w:pPr>
      <w:r>
        <w:rPr>
          <w:rFonts w:ascii="微软雅黑" w:hAnsi="微软雅黑" w:eastAsia="微软雅黑" w:cs="微软雅黑"/>
          <w:b/>
          <w:bCs/>
          <w:color w:val="000000"/>
          <w:sz w:val="36"/>
          <w:szCs w:val="36"/>
        </w:rPr>
        <w:br w:type="page"/>
      </w:r>
      <w:r>
        <w:rPr>
          <w:rFonts w:hint="eastAsia" w:ascii="微软雅黑" w:hAnsi="微软雅黑" w:eastAsia="微软雅黑" w:cs="微软雅黑"/>
          <w:b/>
          <w:bCs/>
          <w:color w:val="000000"/>
          <w:sz w:val="36"/>
          <w:szCs w:val="36"/>
        </w:rPr>
        <w:t> </w:t>
      </w:r>
      <w:r>
        <w:rPr>
          <w:rFonts w:hint="eastAsia" w:ascii="黑体" w:hAnsi="宋体" w:eastAsia="黑体" w:cs="黑体"/>
          <w:b/>
          <w:color w:val="000000"/>
          <w:sz w:val="44"/>
          <w:szCs w:val="44"/>
        </w:rPr>
        <w:t>全年一次性绩效制单操作说明</w:t>
      </w:r>
    </w:p>
    <w:p w14:paraId="2058085A">
      <w:pPr>
        <w:pStyle w:val="5"/>
        <w:spacing w:beforeAutospacing="0" w:afterAutospacing="0" w:line="360" w:lineRule="auto"/>
        <w:ind w:firstLine="560"/>
        <w:jc w:val="both"/>
      </w:pPr>
      <w:r>
        <w:rPr>
          <w:rFonts w:hint="eastAsia" w:ascii="仿宋" w:hAnsi="仿宋" w:eastAsia="仿宋" w:cs="仿宋"/>
          <w:color w:val="000000"/>
          <w:sz w:val="28"/>
          <w:szCs w:val="28"/>
        </w:rPr>
        <w:t>1.登录财务信息系统。</w:t>
      </w:r>
    </w:p>
    <w:p w14:paraId="3ED80CBB">
      <w:pPr>
        <w:pStyle w:val="5"/>
        <w:spacing w:beforeAutospacing="0" w:afterAutospacing="0" w:line="360" w:lineRule="auto"/>
        <w:ind w:firstLine="560"/>
        <w:jc w:val="both"/>
      </w:pPr>
      <w:r>
        <w:rPr>
          <w:rFonts w:hint="eastAsia" w:ascii="仿宋" w:hAnsi="仿宋" w:eastAsia="仿宋" w:cs="仿宋"/>
          <w:color w:val="000000"/>
          <w:sz w:val="28"/>
          <w:szCs w:val="28"/>
        </w:rPr>
        <w:t>2.通过网上授权，获得经费卡使用制单权限。</w:t>
      </w:r>
    </w:p>
    <w:p w14:paraId="0019EAC6">
      <w:pPr>
        <w:pStyle w:val="5"/>
        <w:spacing w:beforeAutospacing="0" w:afterAutospacing="0" w:line="360" w:lineRule="auto"/>
        <w:ind w:firstLine="560"/>
        <w:jc w:val="both"/>
      </w:pPr>
      <w:r>
        <w:rPr>
          <w:rFonts w:hint="eastAsia" w:ascii="仿宋" w:hAnsi="仿宋" w:eastAsia="仿宋" w:cs="仿宋"/>
          <w:color w:val="000000"/>
          <w:sz w:val="28"/>
          <w:szCs w:val="28"/>
        </w:rPr>
        <w:t>3.在页面左侧菜单中选择“薪酬个税系统”--选择“薪酬委托”--选择“委托清单列表”--选择“新增”。</w:t>
      </w:r>
    </w:p>
    <w:p w14:paraId="31452C62">
      <w:pPr>
        <w:pStyle w:val="5"/>
        <w:spacing w:beforeAutospacing="0" w:afterAutospacing="0" w:line="360" w:lineRule="auto"/>
        <w:ind w:firstLine="560"/>
        <w:jc w:val="both"/>
      </w:pPr>
      <w:r>
        <w:rPr>
          <w:rFonts w:hint="eastAsia" w:ascii="仿宋" w:hAnsi="仿宋" w:eastAsia="仿宋" w:cs="仿宋"/>
          <w:color w:val="000000"/>
          <w:sz w:val="28"/>
          <w:szCs w:val="28"/>
        </w:rPr>
        <w:t>4.选择模板</w:t>
      </w:r>
    </w:p>
    <w:p w14:paraId="6EEDB989">
      <w:pPr>
        <w:pStyle w:val="5"/>
        <w:spacing w:beforeAutospacing="0" w:afterAutospacing="0" w:line="360" w:lineRule="auto"/>
        <w:ind w:firstLine="560"/>
        <w:jc w:val="both"/>
      </w:pPr>
      <w:r>
        <w:rPr>
          <w:rFonts w:hint="eastAsia" w:ascii="仿宋" w:hAnsi="仿宋" w:eastAsia="仿宋" w:cs="仿宋"/>
          <w:color w:val="000000"/>
          <w:sz w:val="28"/>
          <w:szCs w:val="28"/>
        </w:rPr>
        <w:t>(1)请不要筛选条件，直接在页面中间选择模板，右下角可以翻页选择适合的无纸化全年一次性绩效模板;</w:t>
      </w:r>
    </w:p>
    <w:p w14:paraId="1DA20437">
      <w:pPr>
        <w:pStyle w:val="5"/>
        <w:spacing w:beforeAutospacing="0" w:afterAutospacing="0" w:line="360" w:lineRule="auto"/>
        <w:ind w:firstLine="560"/>
        <w:jc w:val="both"/>
      </w:pPr>
      <w:r>
        <w:rPr>
          <w:rFonts w:hint="eastAsia" w:ascii="仿宋" w:hAnsi="仿宋" w:eastAsia="仿宋" w:cs="仿宋"/>
          <w:color w:val="000000"/>
          <w:sz w:val="28"/>
          <w:szCs w:val="28"/>
        </w:rPr>
        <w:t>(2)选择“下一步”按钮--报账点选择“校本部”、“番禺校区”或“珠海校区”;</w:t>
      </w:r>
    </w:p>
    <w:p w14:paraId="35F12E8C">
      <w:pPr>
        <w:pStyle w:val="5"/>
        <w:spacing w:beforeAutospacing="0" w:afterAutospacing="0" w:line="360" w:lineRule="auto"/>
        <w:ind w:firstLine="560"/>
        <w:jc w:val="both"/>
      </w:pPr>
      <w:r>
        <w:rPr>
          <w:rFonts w:hint="eastAsia" w:ascii="仿宋" w:hAnsi="仿宋" w:eastAsia="仿宋" w:cs="仿宋"/>
          <w:color w:val="000000"/>
          <w:sz w:val="28"/>
          <w:szCs w:val="28"/>
        </w:rPr>
        <w:t>(3)填写事由（即摘要，全年一次性绩效清单主标题固定为“2024年度XX院系/部/处全年一次性绩效”，确有副标题的，请在全年一次性绩效主标题后补充相应规范的副标题，例如“2024年度XX院系/部/处全年一次性绩效——全年绩效/全年课酬/全年科研绩效”等;</w:t>
      </w:r>
    </w:p>
    <w:p w14:paraId="0DF620F7">
      <w:pPr>
        <w:pStyle w:val="5"/>
        <w:spacing w:beforeAutospacing="0" w:afterAutospacing="0" w:line="360" w:lineRule="auto"/>
        <w:ind w:firstLine="560"/>
        <w:jc w:val="both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(4) 发放方式选择“银行代发”--发放账户选择“优先使用单位管理的工资外账户”—</w:t>
      </w:r>
      <w:r>
        <w:rPr>
          <w:rFonts w:ascii="仿宋" w:hAnsi="仿宋" w:eastAsia="仿宋" w:cs="仿宋"/>
          <w:color w:val="auto"/>
          <w:sz w:val="28"/>
          <w:szCs w:val="28"/>
        </w:rPr>
        <w:t>单位账户清单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选择“学校职工工资账户（珠海校区）”</w:t>
      </w:r>
    </w:p>
    <w:p w14:paraId="2E5FF168">
      <w:pPr>
        <w:pStyle w:val="5"/>
        <w:spacing w:beforeAutospacing="0" w:afterAutospacing="0" w:line="360" w:lineRule="auto"/>
        <w:ind w:firstLine="560"/>
        <w:jc w:val="both"/>
      </w:pPr>
      <w:r>
        <w:rPr>
          <w:rFonts w:hint="eastAsia" w:ascii="仿宋" w:hAnsi="仿宋" w:eastAsia="仿宋" w:cs="仿宋"/>
          <w:color w:val="000000"/>
          <w:sz w:val="28"/>
          <w:szCs w:val="28"/>
        </w:rPr>
        <w:t>(5)选择“发放类别”--选择经费来源（即卡号）--点击“下一步”按钮。</w:t>
      </w:r>
    </w:p>
    <w:p w14:paraId="04179ED5">
      <w:pPr>
        <w:pStyle w:val="5"/>
        <w:spacing w:beforeAutospacing="0" w:afterAutospacing="0" w:line="360" w:lineRule="auto"/>
        <w:ind w:firstLine="560"/>
        <w:jc w:val="both"/>
      </w:pPr>
      <w:r>
        <w:rPr>
          <w:rFonts w:hint="eastAsia" w:ascii="仿宋" w:hAnsi="仿宋" w:eastAsia="仿宋" w:cs="仿宋"/>
          <w:color w:val="000000"/>
          <w:sz w:val="28"/>
          <w:szCs w:val="28"/>
        </w:rPr>
        <w:t>5.开始制单</w:t>
      </w:r>
    </w:p>
    <w:p w14:paraId="2FB3F26C">
      <w:pPr>
        <w:pStyle w:val="5"/>
        <w:spacing w:beforeAutospacing="0" w:afterAutospacing="0" w:line="360" w:lineRule="auto"/>
        <w:ind w:firstLine="560"/>
        <w:jc w:val="both"/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方法一：批量录入，选择“导入数据”按钮，可用EXCEL批量上传人员（适合人数多，金额不相同的情况）。</w:t>
      </w:r>
    </w:p>
    <w:p w14:paraId="7D164D25">
      <w:pPr>
        <w:pStyle w:val="5"/>
        <w:spacing w:beforeAutospacing="0" w:afterAutospacing="0" w:line="360" w:lineRule="auto"/>
        <w:ind w:firstLine="560"/>
        <w:jc w:val="both"/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方法二：手工录入，选择“新增条目”按钮，可手工录入人员（适合人数少，金额单一的情况）。</w:t>
      </w:r>
    </w:p>
    <w:p w14:paraId="0878726E">
      <w:pPr>
        <w:pStyle w:val="5"/>
        <w:spacing w:beforeAutospacing="0" w:afterAutospacing="0" w:line="360" w:lineRule="auto"/>
        <w:ind w:firstLine="560"/>
        <w:jc w:val="both"/>
      </w:pPr>
      <w:r>
        <w:rPr>
          <w:rFonts w:hint="eastAsia" w:ascii="仿宋" w:hAnsi="仿宋" w:eastAsia="仿宋" w:cs="仿宋"/>
          <w:color w:val="000000"/>
          <w:sz w:val="28"/>
          <w:szCs w:val="28"/>
        </w:rPr>
        <w:t>6.录入发放金额</w:t>
      </w:r>
    </w:p>
    <w:p w14:paraId="04D9E816">
      <w:pPr>
        <w:pStyle w:val="5"/>
        <w:spacing w:beforeAutospacing="0" w:afterAutospacing="0" w:line="360" w:lineRule="auto"/>
        <w:ind w:firstLine="560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添加人员及金额结束后，点击“保存”，回到清单界面。</w:t>
      </w:r>
    </w:p>
    <w:p w14:paraId="582DF83D">
      <w:pPr>
        <w:pStyle w:val="5"/>
        <w:spacing w:beforeAutospacing="0" w:afterAutospacing="0" w:line="360" w:lineRule="auto"/>
        <w:ind w:firstLine="560"/>
        <w:jc w:val="both"/>
        <w:rPr>
          <w:color w:val="FF0000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7．发放全年绩效/全年课酬/全年科研绩效等,其发放依据、发放标准、工作量汇总等信息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须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以附件形式上传。</w:t>
      </w:r>
    </w:p>
    <w:p w14:paraId="65C12621">
      <w:pPr>
        <w:pStyle w:val="5"/>
        <w:spacing w:beforeAutospacing="0" w:afterAutospacing="0" w:line="360" w:lineRule="auto"/>
        <w:ind w:firstLine="560"/>
        <w:jc w:val="both"/>
      </w:pPr>
      <w:r>
        <w:rPr>
          <w:rFonts w:hint="eastAsia" w:ascii="仿宋" w:hAnsi="仿宋" w:eastAsia="仿宋" w:cs="仿宋"/>
          <w:color w:val="000000"/>
          <w:sz w:val="28"/>
          <w:szCs w:val="28"/>
        </w:rPr>
        <w:t>8.提交委托</w:t>
      </w:r>
    </w:p>
    <w:p w14:paraId="59FD00ED">
      <w:pPr>
        <w:pStyle w:val="5"/>
        <w:spacing w:beforeAutospacing="0" w:afterAutospacing="0" w:line="360" w:lineRule="auto"/>
        <w:ind w:firstLine="560"/>
        <w:jc w:val="both"/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选择“提交委托”按钮--填写申请，简短一两句话描述该款项即可, 例如2024年度XX院系/部/处全年一次性绩效——全年绩效/全年课酬/全年科研绩效等。</w:t>
      </w:r>
    </w:p>
    <w:p w14:paraId="606AB161">
      <w:pPr>
        <w:pStyle w:val="5"/>
        <w:spacing w:beforeAutospacing="0" w:afterAutospacing="0" w:line="360" w:lineRule="auto"/>
        <w:ind w:firstLine="560"/>
        <w:jc w:val="both"/>
      </w:pPr>
      <w:r>
        <w:rPr>
          <w:rFonts w:hint="eastAsia" w:ascii="仿宋" w:hAnsi="仿宋" w:eastAsia="仿宋" w:cs="仿宋"/>
          <w:color w:val="000000"/>
          <w:sz w:val="28"/>
          <w:szCs w:val="28"/>
        </w:rPr>
        <w:t>9.等待财务处审批（约1-2个工作日）。</w:t>
      </w:r>
    </w:p>
    <w:p w14:paraId="53A89D6A">
      <w:pPr>
        <w:pStyle w:val="5"/>
        <w:spacing w:beforeAutospacing="0" w:afterAutospacing="0" w:line="360" w:lineRule="auto"/>
        <w:ind w:firstLine="560"/>
        <w:jc w:val="both"/>
      </w:pPr>
      <w:r>
        <w:rPr>
          <w:rFonts w:hint="eastAsia" w:ascii="仿宋" w:hAnsi="仿宋" w:eastAsia="仿宋" w:cs="仿宋"/>
          <w:color w:val="000000"/>
          <w:sz w:val="28"/>
          <w:szCs w:val="28"/>
        </w:rPr>
        <w:t>10.确认审批通过，点击“提交委托”。</w:t>
      </w:r>
    </w:p>
    <w:p w14:paraId="06051050">
      <w:pPr>
        <w:pStyle w:val="5"/>
        <w:spacing w:beforeAutospacing="0" w:afterAutospacing="0" w:line="360" w:lineRule="auto"/>
        <w:ind w:firstLine="560"/>
        <w:jc w:val="both"/>
      </w:pPr>
      <w:r>
        <w:rPr>
          <w:rFonts w:hint="eastAsia" w:ascii="仿宋" w:hAnsi="仿宋" w:eastAsia="仿宋" w:cs="仿宋"/>
          <w:color w:val="000000"/>
          <w:sz w:val="28"/>
          <w:szCs w:val="28"/>
        </w:rPr>
        <w:t>11.进入网上审批流程。</w:t>
      </w:r>
    </w:p>
    <w:p w14:paraId="240F90D0">
      <w:pPr>
        <w:pStyle w:val="5"/>
        <w:spacing w:beforeAutospacing="0" w:afterAutospacing="0" w:line="360" w:lineRule="auto"/>
        <w:ind w:firstLine="560"/>
        <w:jc w:val="both"/>
      </w:pPr>
      <w:r>
        <w:rPr>
          <w:rFonts w:hint="eastAsia" w:ascii="仿宋" w:hAnsi="仿宋" w:eastAsia="仿宋" w:cs="仿宋"/>
          <w:color w:val="000000"/>
          <w:sz w:val="28"/>
          <w:szCs w:val="28"/>
        </w:rPr>
        <w:t>12.确保完成审批流程。审批流程完成后，系统显示清单状态为“待发”。</w:t>
      </w:r>
    </w:p>
    <w:p w14:paraId="68029A0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GU2ODY2M2I4NzRhYzg4MDkwOGQyYTllYjIwM2NkYjcifQ=="/>
  </w:docVars>
  <w:rsids>
    <w:rsidRoot w:val="00C75CFC"/>
    <w:rsid w:val="002D7711"/>
    <w:rsid w:val="00356E87"/>
    <w:rsid w:val="0040120A"/>
    <w:rsid w:val="004041A6"/>
    <w:rsid w:val="004F4CE7"/>
    <w:rsid w:val="007A08FF"/>
    <w:rsid w:val="008350CC"/>
    <w:rsid w:val="00886617"/>
    <w:rsid w:val="00893E5D"/>
    <w:rsid w:val="00933D61"/>
    <w:rsid w:val="009A2F3D"/>
    <w:rsid w:val="00B20CA1"/>
    <w:rsid w:val="00BC0728"/>
    <w:rsid w:val="00C75CFC"/>
    <w:rsid w:val="00CA4325"/>
    <w:rsid w:val="00D036D1"/>
    <w:rsid w:val="00E143EC"/>
    <w:rsid w:val="00FA5AB0"/>
    <w:rsid w:val="03F62DA4"/>
    <w:rsid w:val="08E9531B"/>
    <w:rsid w:val="159D7497"/>
    <w:rsid w:val="27187D7F"/>
    <w:rsid w:val="456676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1112</Words>
  <Characters>1166</Characters>
  <Lines>1</Lines>
  <Paragraphs>2</Paragraphs>
  <TotalTime>49</TotalTime>
  <ScaleCrop>false</ScaleCrop>
  <LinksUpToDate>false</LinksUpToDate>
  <CharactersWithSpaces>1170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2024-10-17T07:44:00Z</dcterms:created>
  <dc:creator>CW</dc:creator>
  <cp:lastModifiedBy>宗彦君</cp:lastModifiedBy>
  <dcterms:modified xsi:type="dcterms:W3CDTF">2024-10-18T00:24:30Z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4AC79CEA6A6D4D48AB3FFF5D799771A8_12</vt:lpwstr>
  </property>
</Properties>
</file>