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46C0F" w:rsidRPr="00D46C0F" w:rsidRDefault="00D46C0F" w:rsidP="00D46C0F">
      <w:pPr>
        <w:widowControl/>
        <w:spacing w:line="520" w:lineRule="exact"/>
        <w:ind w:right="-227"/>
        <w:jc w:val="center"/>
        <w:textAlignment w:val="baseline"/>
        <w:rPr>
          <w:rFonts w:ascii="仿宋" w:eastAsia="仿宋" w:hAnsi="仿宋" w:cs="仿宋"/>
          <w:b/>
          <w:kern w:val="0"/>
          <w:sz w:val="36"/>
          <w:szCs w:val="32"/>
          <w:lang w:bidi="ar"/>
        </w:rPr>
      </w:pPr>
      <w:r w:rsidRPr="00D46C0F">
        <w:rPr>
          <w:rFonts w:ascii="仿宋" w:eastAsia="仿宋" w:hAnsi="仿宋" w:cs="仿宋" w:hint="eastAsia"/>
          <w:b/>
          <w:kern w:val="0"/>
          <w:sz w:val="36"/>
          <w:szCs w:val="32"/>
          <w:lang w:bidi="ar"/>
        </w:rPr>
        <w:t>编报</w:t>
      </w:r>
      <w:r w:rsidR="005B1851" w:rsidRPr="00D46C0F">
        <w:rPr>
          <w:rFonts w:ascii="仿宋" w:eastAsia="仿宋" w:hAnsi="仿宋" w:cs="仿宋" w:hint="eastAsia"/>
          <w:b/>
          <w:kern w:val="0"/>
          <w:sz w:val="36"/>
          <w:szCs w:val="32"/>
          <w:lang w:bidi="ar"/>
        </w:rPr>
        <w:t>具体要求</w:t>
      </w:r>
    </w:p>
    <w:p w:rsidR="00D46C0F" w:rsidRPr="00D46C0F" w:rsidRDefault="00D46C0F" w:rsidP="00D46C0F">
      <w:pPr>
        <w:widowControl/>
        <w:spacing w:line="520" w:lineRule="exact"/>
        <w:ind w:right="-227"/>
        <w:textAlignment w:val="baseline"/>
        <w:rPr>
          <w:rFonts w:ascii="仿宋" w:eastAsia="仿宋" w:hAnsi="仿宋" w:cs="仿宋"/>
          <w:b/>
          <w:kern w:val="0"/>
          <w:sz w:val="28"/>
          <w:szCs w:val="28"/>
          <w:lang w:bidi="ar"/>
        </w:rPr>
      </w:pPr>
    </w:p>
    <w:p w:rsidR="00D46C0F" w:rsidRPr="00D46C0F" w:rsidRDefault="00D46C0F" w:rsidP="00D46C0F">
      <w:pPr>
        <w:widowControl/>
        <w:textAlignment w:val="baseline"/>
        <w:rPr>
          <w:rFonts w:asciiTheme="minorEastAsia" w:hAnsiTheme="minorEastAsia" w:cs="仿宋"/>
          <w:b/>
          <w:kern w:val="0"/>
          <w:sz w:val="28"/>
          <w:szCs w:val="28"/>
          <w:lang w:bidi="ar"/>
        </w:rPr>
      </w:pPr>
      <w:r w:rsidRPr="00D46C0F">
        <w:rPr>
          <w:rFonts w:asciiTheme="minorEastAsia" w:hAnsiTheme="minorEastAsia" w:cs="仿宋" w:hint="eastAsia"/>
          <w:b/>
          <w:kern w:val="0"/>
          <w:sz w:val="28"/>
          <w:szCs w:val="28"/>
          <w:lang w:bidi="ar"/>
        </w:rPr>
        <w:t>一、新增资产配置</w:t>
      </w:r>
    </w:p>
    <w:p w:rsidR="00D46C0F" w:rsidRPr="00D46C0F" w:rsidRDefault="00D46C0F" w:rsidP="00D46C0F">
      <w:pPr>
        <w:widowControl/>
        <w:ind w:firstLineChars="200" w:firstLine="560"/>
        <w:textAlignment w:val="baseline"/>
        <w:rPr>
          <w:rFonts w:asciiTheme="minorEastAsia" w:hAnsiTheme="minorEastAsia" w:cs="Helvetica"/>
          <w:sz w:val="28"/>
          <w:szCs w:val="28"/>
        </w:rPr>
      </w:pPr>
      <w:r w:rsidRPr="00D46C0F">
        <w:rPr>
          <w:rFonts w:asciiTheme="minorEastAsia" w:hAnsiTheme="minorEastAsia" w:cs="仿宋" w:hint="eastAsia"/>
          <w:kern w:val="0"/>
          <w:sz w:val="28"/>
          <w:szCs w:val="28"/>
          <w:lang w:bidi="ar"/>
        </w:rPr>
        <w:t>1、编报</w:t>
      </w:r>
      <w:r w:rsidRPr="00D46C0F">
        <w:rPr>
          <w:rFonts w:asciiTheme="minorEastAsia" w:hAnsiTheme="minorEastAsia" w:cs="Helvetica" w:hint="eastAsia"/>
          <w:sz w:val="28"/>
          <w:szCs w:val="28"/>
        </w:rPr>
        <w:t>新增资产配置时，资产分类必须</w:t>
      </w:r>
      <w:r w:rsidRPr="00D46C0F">
        <w:rPr>
          <w:rFonts w:asciiTheme="minorEastAsia" w:hAnsiTheme="minorEastAsia" w:cs="Helvetica" w:hint="eastAsia"/>
          <w:b/>
          <w:sz w:val="28"/>
          <w:szCs w:val="28"/>
        </w:rPr>
        <w:t>细化到底级采购品目</w:t>
      </w:r>
      <w:r w:rsidRPr="00D46C0F">
        <w:rPr>
          <w:rFonts w:asciiTheme="minorEastAsia" w:hAnsiTheme="minorEastAsia" w:cs="Helvetica" w:hint="eastAsia"/>
          <w:sz w:val="28"/>
          <w:szCs w:val="28"/>
        </w:rPr>
        <w:t>，例如设备必须填写设备预期使用频率、设备主要规格参数、购置设备必要性。同时，新增资产属于政府采购范围的需编制货物类政府采购计划。</w:t>
      </w:r>
    </w:p>
    <w:p w:rsidR="00D46C0F" w:rsidRPr="00D46C0F" w:rsidRDefault="00D46C0F" w:rsidP="00D46C0F">
      <w:pPr>
        <w:widowControl/>
        <w:ind w:firstLineChars="200" w:firstLine="560"/>
        <w:textAlignment w:val="baseline"/>
        <w:rPr>
          <w:rFonts w:asciiTheme="minorEastAsia" w:hAnsiTheme="minorEastAsia" w:cs="Helvetica"/>
          <w:sz w:val="28"/>
          <w:szCs w:val="28"/>
        </w:rPr>
      </w:pPr>
      <w:r w:rsidRPr="00D46C0F">
        <w:rPr>
          <w:rFonts w:asciiTheme="minorEastAsia" w:hAnsiTheme="minorEastAsia" w:cs="Helvetica" w:hint="eastAsia"/>
          <w:sz w:val="28"/>
          <w:szCs w:val="28"/>
        </w:rPr>
        <w:t>2、</w:t>
      </w:r>
      <w:r w:rsidR="005B1851" w:rsidRPr="00D46C0F">
        <w:rPr>
          <w:rFonts w:asciiTheme="minorEastAsia" w:hAnsiTheme="minorEastAsia" w:cs="Helvetica" w:hint="eastAsia"/>
          <w:sz w:val="28"/>
          <w:szCs w:val="28"/>
        </w:rPr>
        <w:t>新增车辆，需满足</w:t>
      </w:r>
      <w:r w:rsidR="005B1851" w:rsidRPr="00D46C0F">
        <w:rPr>
          <w:rStyle w:val="a6"/>
          <w:rFonts w:asciiTheme="minorEastAsia" w:hAnsiTheme="minorEastAsia" w:cs="Helvetica" w:hint="eastAsia"/>
          <w:sz w:val="28"/>
          <w:szCs w:val="28"/>
        </w:rPr>
        <w:t>“报废一辆新增一辆”</w:t>
      </w:r>
      <w:r w:rsidR="005B1851" w:rsidRPr="00D46C0F">
        <w:rPr>
          <w:rFonts w:asciiTheme="minorEastAsia" w:hAnsiTheme="minorEastAsia" w:cs="Helvetica" w:hint="eastAsia"/>
          <w:sz w:val="28"/>
          <w:szCs w:val="28"/>
        </w:rPr>
        <w:t>的原则，并不允许购置通勤车辆。</w:t>
      </w:r>
    </w:p>
    <w:p w:rsidR="00D46C0F" w:rsidRPr="00D46C0F" w:rsidRDefault="00D46C0F" w:rsidP="00D46C0F">
      <w:pPr>
        <w:widowControl/>
        <w:ind w:firstLineChars="200" w:firstLine="560"/>
        <w:textAlignment w:val="baseline"/>
        <w:rPr>
          <w:rFonts w:asciiTheme="minorEastAsia" w:hAnsiTheme="minorEastAsia" w:cs="Helvetica"/>
          <w:sz w:val="28"/>
          <w:szCs w:val="28"/>
        </w:rPr>
      </w:pPr>
      <w:r w:rsidRPr="00D46C0F">
        <w:rPr>
          <w:rFonts w:asciiTheme="minorEastAsia" w:hAnsiTheme="minorEastAsia" w:cs="Helvetica" w:hint="eastAsia"/>
          <w:sz w:val="28"/>
          <w:szCs w:val="28"/>
        </w:rPr>
        <w:t>购置标准：</w:t>
      </w:r>
      <w:r w:rsidR="005B1851" w:rsidRPr="00D46C0F">
        <w:rPr>
          <w:rFonts w:asciiTheme="minorEastAsia" w:hAnsiTheme="minorEastAsia" w:cs="Helvetica" w:hint="eastAsia"/>
          <w:sz w:val="28"/>
          <w:szCs w:val="28"/>
        </w:rPr>
        <w:t>事业单位新增购置车辆须按照《省部级干部公务用车配备使用管理办法》（</w:t>
      </w:r>
      <w:proofErr w:type="gramStart"/>
      <w:r w:rsidR="005B1851" w:rsidRPr="00D46C0F">
        <w:rPr>
          <w:rFonts w:asciiTheme="minorEastAsia" w:hAnsiTheme="minorEastAsia" w:cs="Helvetica" w:hint="eastAsia"/>
          <w:sz w:val="28"/>
          <w:szCs w:val="28"/>
        </w:rPr>
        <w:t>厅字〔2011〕</w:t>
      </w:r>
      <w:proofErr w:type="gramEnd"/>
      <w:r w:rsidR="005B1851" w:rsidRPr="00D46C0F">
        <w:rPr>
          <w:rFonts w:asciiTheme="minorEastAsia" w:hAnsiTheme="minorEastAsia" w:cs="Helvetica" w:hint="eastAsia"/>
          <w:sz w:val="28"/>
          <w:szCs w:val="28"/>
        </w:rPr>
        <w:t>1号）、《党政机关公务用车管理办法》（中办发〔2017〕71号）规定的标准：机要通信用车配备价格12万元以内、排气量1.6升（含）以下的轿车或者其他小型客车；应急保障用车和其他按规定配备的公务用车配备价格18万元以内、排气量1.8升（含）以下的轿车或者其他小型客车，确因情况特殊，可以适当配备价格25万元以内、排气量3.0升（含）以下的其他小型客车、中型客车或者价格45万元以内的大型客车；执法执勤用车配备价格12万元以内、排气量1.6升（含）以下的轿车或者其他小型客车，因工作需要可以配备价格18万元以内、排气量1.8升（含）以下的轿车或者其他小型客车，确因情况特殊，可以适当配备价格25万元以内、排气量3.0升（含）以下的其他小型客车、中型客车或者价格45万元以内的大型客车；特种专业技术用车配备标准由有</w:t>
      </w:r>
      <w:r w:rsidR="005B1851" w:rsidRPr="00D46C0F">
        <w:rPr>
          <w:rFonts w:asciiTheme="minorEastAsia" w:hAnsiTheme="minorEastAsia" w:cs="Helvetica" w:hint="eastAsia"/>
          <w:sz w:val="28"/>
          <w:szCs w:val="28"/>
        </w:rPr>
        <w:lastRenderedPageBreak/>
        <w:t>关部门会同财政部门按照保障工作需要、厉行节约的原则确定；公务用车配备新能源轿车的，价格不得超过18万元。</w:t>
      </w:r>
    </w:p>
    <w:p w:rsidR="00D46C0F" w:rsidRPr="00D46C0F" w:rsidRDefault="00D46C0F" w:rsidP="00D46C0F">
      <w:pPr>
        <w:widowControl/>
        <w:ind w:firstLineChars="200" w:firstLine="560"/>
        <w:textAlignment w:val="baseline"/>
        <w:rPr>
          <w:rStyle w:val="a6"/>
          <w:rFonts w:asciiTheme="minorEastAsia" w:hAnsiTheme="minorEastAsia" w:cs="Helvetica"/>
          <w:bCs/>
          <w:sz w:val="28"/>
          <w:szCs w:val="28"/>
        </w:rPr>
      </w:pPr>
      <w:r w:rsidRPr="00D46C0F">
        <w:rPr>
          <w:rFonts w:asciiTheme="minorEastAsia" w:hAnsiTheme="minorEastAsia" w:cs="Helvetica" w:hint="eastAsia"/>
          <w:sz w:val="28"/>
          <w:szCs w:val="28"/>
        </w:rPr>
        <w:t>3、</w:t>
      </w:r>
      <w:r w:rsidR="005B1851" w:rsidRPr="00D46C0F">
        <w:rPr>
          <w:rFonts w:asciiTheme="minorEastAsia" w:hAnsiTheme="minorEastAsia" w:cs="Helvetica" w:hint="eastAsia"/>
          <w:sz w:val="28"/>
          <w:szCs w:val="28"/>
        </w:rPr>
        <w:t>根据国标《固定资产分类与代码》（GB/T 14885-2010）规定，</w:t>
      </w:r>
      <w:r w:rsidR="005B1851" w:rsidRPr="00D46C0F">
        <w:rPr>
          <w:rStyle w:val="a6"/>
          <w:rFonts w:asciiTheme="minorEastAsia" w:hAnsiTheme="minorEastAsia" w:cs="Helvetica" w:hint="eastAsia"/>
          <w:sz w:val="28"/>
          <w:szCs w:val="28"/>
        </w:rPr>
        <w:t>通用设备</w:t>
      </w:r>
      <w:r w:rsidR="005B1851" w:rsidRPr="00D46C0F">
        <w:rPr>
          <w:rFonts w:asciiTheme="minorEastAsia" w:hAnsiTheme="minorEastAsia" w:cs="Helvetica" w:hint="eastAsia"/>
          <w:sz w:val="28"/>
          <w:szCs w:val="28"/>
        </w:rPr>
        <w:t>填写行政事业单位计算机设备及软件、办公设备、图书档案设备、机械设备、电器设备、雷达无线电和卫星导航设备、通信设备、广播电视电影设备、仪器仪表、电子和通信测量仪器、计量标准器具及量具衡器等</w:t>
      </w:r>
      <w:r w:rsidRPr="00D46C0F">
        <w:rPr>
          <w:rFonts w:asciiTheme="minorEastAsia" w:hAnsiTheme="minorEastAsia" w:cs="Helvetica" w:hint="eastAsia"/>
          <w:sz w:val="28"/>
          <w:szCs w:val="28"/>
        </w:rPr>
        <w:t>；</w:t>
      </w:r>
      <w:r w:rsidR="005B1851" w:rsidRPr="00D46C0F">
        <w:rPr>
          <w:rStyle w:val="a6"/>
          <w:rFonts w:asciiTheme="minorEastAsia" w:hAnsiTheme="minorEastAsia" w:cs="Helvetica" w:hint="eastAsia"/>
          <w:sz w:val="28"/>
          <w:szCs w:val="28"/>
        </w:rPr>
        <w:t>专用设备</w:t>
      </w:r>
      <w:r w:rsidR="005B1851" w:rsidRPr="00D46C0F">
        <w:rPr>
          <w:rFonts w:asciiTheme="minorEastAsia" w:hAnsiTheme="minorEastAsia" w:cs="Helvetica" w:hint="eastAsia"/>
          <w:sz w:val="28"/>
          <w:szCs w:val="28"/>
        </w:rPr>
        <w:t>填写行政事业单位探矿采矿选矿</w:t>
      </w:r>
      <w:proofErr w:type="gramStart"/>
      <w:r w:rsidR="005B1851" w:rsidRPr="00D46C0F">
        <w:rPr>
          <w:rFonts w:asciiTheme="minorEastAsia" w:hAnsiTheme="minorEastAsia" w:cs="Helvetica" w:hint="eastAsia"/>
          <w:sz w:val="28"/>
          <w:szCs w:val="28"/>
        </w:rPr>
        <w:t>和造块设备</w:t>
      </w:r>
      <w:proofErr w:type="gramEnd"/>
      <w:r w:rsidR="005B1851" w:rsidRPr="00D46C0F">
        <w:rPr>
          <w:rFonts w:asciiTheme="minorEastAsia" w:hAnsiTheme="minorEastAsia" w:cs="Helvetica" w:hint="eastAsia"/>
          <w:sz w:val="28"/>
          <w:szCs w:val="28"/>
        </w:rPr>
        <w:t>、石油天然气开采专用设备、石油和化学工业专用设备、炼焦和金属冶炼轧制设备、电力工业专用设备、非金属矿物制品工业专用设备、核工业专用设备、航空航天工业专用设备、工程机械、农业和林业机械、木材采集和加工设备、食品加工设备、饮料加工设备、烟草加工设备、粮油作物和食料加工设备、纺织设备、缝纫服饰制革和皮毛加工设备、造纸和印刷设备、化学药品和中药加工设备、医疗设备、电工电子专用生产设备、安全生产设备、邮政专用设备、环境污染防治专用设备、公安专用设备、水工设备、殡葬设备及用品、铁路运输设备、水上交通运输设备、航空器及其配套设备、专用仪器仪表、文艺设备、体育设备、娱乐设备等。</w:t>
      </w:r>
      <w:r w:rsidR="005B1851" w:rsidRPr="00D46C0F">
        <w:rPr>
          <w:rStyle w:val="a6"/>
          <w:rFonts w:asciiTheme="minorEastAsia" w:hAnsiTheme="minorEastAsia" w:cs="Helvetica" w:hint="eastAsia"/>
          <w:bCs/>
          <w:sz w:val="28"/>
          <w:szCs w:val="28"/>
        </w:rPr>
        <w:t>所有</w:t>
      </w:r>
      <w:r w:rsidR="005B1851" w:rsidRPr="00D46C0F">
        <w:rPr>
          <w:rStyle w:val="a6"/>
          <w:rFonts w:asciiTheme="minorEastAsia" w:hAnsiTheme="minorEastAsia" w:cs="Helvetica" w:hint="eastAsia"/>
          <w:sz w:val="28"/>
          <w:szCs w:val="28"/>
        </w:rPr>
        <w:t>单价50万元及以上</w:t>
      </w:r>
      <w:r w:rsidR="005B1851" w:rsidRPr="00D46C0F">
        <w:rPr>
          <w:rStyle w:val="a6"/>
          <w:rFonts w:asciiTheme="minorEastAsia" w:hAnsiTheme="minorEastAsia" w:cs="Helvetica" w:hint="eastAsia"/>
          <w:bCs/>
          <w:sz w:val="28"/>
          <w:szCs w:val="28"/>
        </w:rPr>
        <w:t>通用设备和</w:t>
      </w:r>
      <w:r w:rsidR="005B1851" w:rsidRPr="00D46C0F">
        <w:rPr>
          <w:rStyle w:val="a6"/>
          <w:rFonts w:asciiTheme="minorEastAsia" w:hAnsiTheme="minorEastAsia" w:cs="Helvetica" w:hint="eastAsia"/>
          <w:sz w:val="28"/>
          <w:szCs w:val="28"/>
        </w:rPr>
        <w:t>单价100万元及以上专用设备</w:t>
      </w:r>
      <w:r w:rsidR="005B1851" w:rsidRPr="00D46C0F">
        <w:rPr>
          <w:rStyle w:val="a6"/>
          <w:rFonts w:asciiTheme="minorEastAsia" w:hAnsiTheme="minorEastAsia" w:cs="Helvetica" w:hint="eastAsia"/>
          <w:bCs/>
          <w:sz w:val="28"/>
          <w:szCs w:val="28"/>
        </w:rPr>
        <w:t>的价格均为包含了购买价款、相关税费以及固定资产交付使用前所发生的可归属于该项资产的运输费、装卸费、安装费和专业人员服务费等费用后的价格。</w:t>
      </w:r>
    </w:p>
    <w:p w:rsidR="00D46C0F" w:rsidRPr="00D46C0F" w:rsidRDefault="00D46C0F" w:rsidP="00D46C0F">
      <w:pPr>
        <w:widowControl/>
        <w:ind w:firstLineChars="200" w:firstLine="560"/>
        <w:textAlignment w:val="baseline"/>
        <w:rPr>
          <w:rFonts w:asciiTheme="minorEastAsia" w:hAnsiTheme="minorEastAsia" w:cs="Helvetica"/>
          <w:sz w:val="28"/>
          <w:szCs w:val="28"/>
        </w:rPr>
      </w:pPr>
      <w:r w:rsidRPr="00D46C0F">
        <w:rPr>
          <w:rFonts w:asciiTheme="minorEastAsia" w:hAnsiTheme="minorEastAsia" w:cs="Helvetica" w:hint="eastAsia"/>
          <w:sz w:val="28"/>
          <w:szCs w:val="28"/>
        </w:rPr>
        <w:t>4、新增</w:t>
      </w:r>
      <w:r w:rsidR="005B1851" w:rsidRPr="00D46C0F">
        <w:rPr>
          <w:rFonts w:asciiTheme="minorEastAsia" w:hAnsiTheme="minorEastAsia" w:cs="Helvetica" w:hint="eastAsia"/>
          <w:sz w:val="28"/>
          <w:szCs w:val="28"/>
        </w:rPr>
        <w:t>房屋和土地</w:t>
      </w:r>
      <w:r w:rsidRPr="00D46C0F">
        <w:rPr>
          <w:rFonts w:asciiTheme="minorEastAsia" w:hAnsiTheme="minorEastAsia" w:cs="Helvetica" w:hint="eastAsia"/>
          <w:sz w:val="28"/>
          <w:szCs w:val="28"/>
        </w:rPr>
        <w:t>，包括新租</w:t>
      </w:r>
      <w:r w:rsidR="005B1851" w:rsidRPr="00D46C0F">
        <w:rPr>
          <w:rFonts w:asciiTheme="minorEastAsia" w:hAnsiTheme="minorEastAsia" w:cs="Helvetica" w:hint="eastAsia"/>
          <w:sz w:val="28"/>
          <w:szCs w:val="28"/>
        </w:rPr>
        <w:t>和续租的房屋和土地，续租需要在本年支付当年费用。</w:t>
      </w:r>
    </w:p>
    <w:p w:rsidR="00147A6F" w:rsidRPr="00D46C0F" w:rsidRDefault="00D46C0F" w:rsidP="00D46C0F">
      <w:pPr>
        <w:widowControl/>
        <w:textAlignment w:val="baseline"/>
        <w:rPr>
          <w:rFonts w:asciiTheme="minorEastAsia" w:hAnsiTheme="minorEastAsia"/>
          <w:sz w:val="28"/>
          <w:szCs w:val="28"/>
        </w:rPr>
      </w:pPr>
      <w:r w:rsidRPr="00D46C0F">
        <w:rPr>
          <w:rFonts w:asciiTheme="minorEastAsia" w:hAnsiTheme="minorEastAsia" w:cs="Helvetica" w:hint="eastAsia"/>
          <w:sz w:val="28"/>
          <w:szCs w:val="28"/>
        </w:rPr>
        <w:lastRenderedPageBreak/>
        <w:t>二、</w:t>
      </w:r>
      <w:r w:rsidR="005B1851" w:rsidRPr="00D46C0F">
        <w:rPr>
          <w:rFonts w:asciiTheme="minorEastAsia" w:hAnsiTheme="minorEastAsia" w:cs="仿宋" w:hint="eastAsia"/>
          <w:b/>
          <w:sz w:val="28"/>
          <w:szCs w:val="28"/>
          <w:lang w:bidi="ar"/>
        </w:rPr>
        <w:t>政府采购计划</w:t>
      </w:r>
    </w:p>
    <w:p w:rsidR="00D46C0F" w:rsidRPr="00D46C0F" w:rsidRDefault="00D46C0F" w:rsidP="00D46C0F">
      <w:pPr>
        <w:ind w:firstLineChars="200" w:firstLine="560"/>
        <w:rPr>
          <w:rFonts w:asciiTheme="minorEastAsia" w:hAnsiTheme="minorEastAsia"/>
          <w:sz w:val="28"/>
          <w:szCs w:val="28"/>
        </w:rPr>
      </w:pPr>
      <w:r w:rsidRPr="00D46C0F">
        <w:rPr>
          <w:rFonts w:asciiTheme="minorEastAsia" w:hAnsiTheme="minorEastAsia" w:hint="eastAsia"/>
          <w:sz w:val="28"/>
          <w:szCs w:val="28"/>
        </w:rPr>
        <w:t>1、政府采购计划必须填写到底级采购品目，包括设备名称及数量、单价、设备预期使用频率、设备主要规格参数、购置设备的必要性、是否面对中小企业采购，面向中小企业采购金额等。</w:t>
      </w:r>
    </w:p>
    <w:p w:rsidR="00147A6F" w:rsidRPr="00D46C0F" w:rsidRDefault="00D46C0F" w:rsidP="00D46C0F">
      <w:pPr>
        <w:widowControl/>
        <w:ind w:firstLineChars="200" w:firstLine="560"/>
        <w:textAlignment w:val="baseline"/>
        <w:rPr>
          <w:rFonts w:asciiTheme="minorEastAsia" w:hAnsiTheme="minorEastAsia"/>
          <w:sz w:val="28"/>
          <w:szCs w:val="28"/>
        </w:rPr>
      </w:pPr>
      <w:r w:rsidRPr="00D46C0F">
        <w:rPr>
          <w:rFonts w:asciiTheme="minorEastAsia" w:hAnsiTheme="minorEastAsia" w:cs="仿宋" w:hint="eastAsia"/>
          <w:kern w:val="0"/>
          <w:sz w:val="28"/>
          <w:szCs w:val="28"/>
          <w:lang w:bidi="ar"/>
        </w:rPr>
        <w:t>2、</w:t>
      </w:r>
      <w:r w:rsidR="005B1851" w:rsidRPr="00D46C0F">
        <w:rPr>
          <w:rFonts w:asciiTheme="minorEastAsia" w:hAnsiTheme="minorEastAsia" w:cs="仿宋" w:hint="eastAsia"/>
          <w:kern w:val="0"/>
          <w:sz w:val="28"/>
          <w:szCs w:val="28"/>
          <w:lang w:bidi="ar"/>
        </w:rPr>
        <w:t>政府采购项目需落实支持中小企业发展等采购政策，请各单位做好充分的市场调研，适宜专门面对中小企业采购的，必须面对中小企业采购</w:t>
      </w:r>
      <w:r w:rsidR="0018475E">
        <w:rPr>
          <w:rFonts w:asciiTheme="minorEastAsia" w:hAnsiTheme="minorEastAsia" w:cs="仿宋" w:hint="eastAsia"/>
          <w:kern w:val="0"/>
          <w:sz w:val="28"/>
          <w:szCs w:val="28"/>
          <w:lang w:bidi="ar"/>
        </w:rPr>
        <w:t>，</w:t>
      </w:r>
      <w:r w:rsidR="0018475E" w:rsidRPr="0018475E">
        <w:rPr>
          <w:rFonts w:asciiTheme="minorEastAsia" w:hAnsiTheme="minorEastAsia" w:cs="仿宋" w:hint="eastAsia"/>
          <w:kern w:val="0"/>
          <w:sz w:val="28"/>
          <w:szCs w:val="28"/>
          <w:lang w:bidi="ar"/>
        </w:rPr>
        <w:t>要足额预留专门面向中小企业采购份额，注明中小金额、小</w:t>
      </w:r>
      <w:proofErr w:type="gramStart"/>
      <w:r w:rsidR="0018475E" w:rsidRPr="0018475E">
        <w:rPr>
          <w:rFonts w:asciiTheme="minorEastAsia" w:hAnsiTheme="minorEastAsia" w:cs="仿宋" w:hint="eastAsia"/>
          <w:kern w:val="0"/>
          <w:sz w:val="28"/>
          <w:szCs w:val="28"/>
          <w:lang w:bidi="ar"/>
        </w:rPr>
        <w:t>微金额</w:t>
      </w:r>
      <w:proofErr w:type="gramEnd"/>
      <w:r w:rsidR="0018475E" w:rsidRPr="0018475E">
        <w:rPr>
          <w:rFonts w:asciiTheme="minorEastAsia" w:hAnsiTheme="minorEastAsia" w:cs="仿宋" w:hint="eastAsia"/>
          <w:kern w:val="0"/>
          <w:sz w:val="28"/>
          <w:szCs w:val="28"/>
          <w:lang w:bidi="ar"/>
        </w:rPr>
        <w:t>以及预留执行措施。</w:t>
      </w:r>
      <w:r w:rsidR="005B1851" w:rsidRPr="00D46C0F">
        <w:rPr>
          <w:rFonts w:asciiTheme="minorEastAsia" w:hAnsiTheme="minorEastAsia" w:cs="仿宋" w:hint="eastAsia"/>
          <w:kern w:val="0"/>
          <w:sz w:val="28"/>
          <w:szCs w:val="28"/>
          <w:lang w:bidi="ar"/>
        </w:rPr>
        <w:t>如不适宜的，需说明具体原因，同时提交相应佐证材料，否则将不予批准预算。</w:t>
      </w:r>
      <w:bookmarkStart w:id="0" w:name="_GoBack"/>
      <w:bookmarkEnd w:id="0"/>
    </w:p>
    <w:p w:rsidR="00D46C0F" w:rsidRPr="00D46C0F" w:rsidRDefault="00D46C0F">
      <w:pPr>
        <w:ind w:firstLineChars="200" w:firstLine="560"/>
        <w:rPr>
          <w:rFonts w:asciiTheme="minorEastAsia" w:hAnsiTheme="minorEastAsia"/>
          <w:sz w:val="28"/>
          <w:szCs w:val="28"/>
        </w:rPr>
      </w:pPr>
    </w:p>
    <w:sectPr w:rsidR="00D46C0F" w:rsidRPr="00D46C0F">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67843" w:rsidRDefault="00067843" w:rsidP="00D46C0F">
      <w:r>
        <w:separator/>
      </w:r>
    </w:p>
  </w:endnote>
  <w:endnote w:type="continuationSeparator" w:id="0">
    <w:p w:rsidR="00067843" w:rsidRDefault="00067843" w:rsidP="00D46C0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Helvetica">
    <w:panose1 w:val="020B060402020202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67843" w:rsidRDefault="00067843" w:rsidP="00D46C0F">
      <w:r>
        <w:separator/>
      </w:r>
    </w:p>
  </w:footnote>
  <w:footnote w:type="continuationSeparator" w:id="0">
    <w:p w:rsidR="00067843" w:rsidRDefault="00067843" w:rsidP="00D46C0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U3NDViYTFkMjZlNjE4NmNiOWQ0NTkzMGI4YTUwNjUifQ=="/>
  </w:docVars>
  <w:rsids>
    <w:rsidRoot w:val="00BF0BDB"/>
    <w:rsid w:val="00067843"/>
    <w:rsid w:val="00147A6F"/>
    <w:rsid w:val="0018475E"/>
    <w:rsid w:val="00295538"/>
    <w:rsid w:val="005B1851"/>
    <w:rsid w:val="00A645EA"/>
    <w:rsid w:val="00BF0BDB"/>
    <w:rsid w:val="00D46C0F"/>
    <w:rsid w:val="00E45808"/>
    <w:rsid w:val="435C340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qFormat/>
    <w:pPr>
      <w:tabs>
        <w:tab w:val="center" w:pos="4153"/>
        <w:tab w:val="right" w:pos="8306"/>
      </w:tabs>
      <w:snapToGrid w:val="0"/>
      <w:jc w:val="left"/>
    </w:pPr>
    <w:rPr>
      <w:sz w:val="18"/>
      <w:szCs w:val="18"/>
    </w:rPr>
  </w:style>
  <w:style w:type="paragraph" w:styleId="a4">
    <w:name w:val="header"/>
    <w:basedOn w:val="a"/>
    <w:link w:val="Char0"/>
    <w:uiPriority w:val="99"/>
    <w:unhideWhenUsed/>
    <w:qFormat/>
    <w:pPr>
      <w:pBdr>
        <w:bottom w:val="single" w:sz="6" w:space="1" w:color="auto"/>
      </w:pBdr>
      <w:tabs>
        <w:tab w:val="center" w:pos="4153"/>
        <w:tab w:val="right" w:pos="8306"/>
      </w:tabs>
      <w:snapToGrid w:val="0"/>
      <w:jc w:val="center"/>
    </w:pPr>
    <w:rPr>
      <w:sz w:val="18"/>
      <w:szCs w:val="18"/>
    </w:rPr>
  </w:style>
  <w:style w:type="paragraph" w:styleId="a5">
    <w:name w:val="Normal (Web)"/>
    <w:basedOn w:val="a"/>
    <w:uiPriority w:val="99"/>
    <w:unhideWhenUsed/>
    <w:qFormat/>
    <w:pPr>
      <w:spacing w:after="150"/>
      <w:jc w:val="left"/>
    </w:pPr>
    <w:rPr>
      <w:rFonts w:cs="Times New Roman"/>
      <w:kern w:val="0"/>
      <w:sz w:val="24"/>
    </w:rPr>
  </w:style>
  <w:style w:type="character" w:styleId="a6">
    <w:name w:val="Strong"/>
    <w:basedOn w:val="a0"/>
    <w:uiPriority w:val="22"/>
    <w:qFormat/>
    <w:rPr>
      <w:b/>
    </w:rPr>
  </w:style>
  <w:style w:type="character" w:customStyle="1" w:styleId="Char0">
    <w:name w:val="页眉 Char"/>
    <w:basedOn w:val="a0"/>
    <w:link w:val="a4"/>
    <w:uiPriority w:val="99"/>
    <w:qFormat/>
    <w:rPr>
      <w:sz w:val="18"/>
      <w:szCs w:val="18"/>
    </w:rPr>
  </w:style>
  <w:style w:type="character" w:customStyle="1" w:styleId="Char">
    <w:name w:val="页脚 Char"/>
    <w:basedOn w:val="a0"/>
    <w:link w:val="a3"/>
    <w:uiPriority w:val="99"/>
    <w:qFormat/>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qFormat/>
    <w:pPr>
      <w:tabs>
        <w:tab w:val="center" w:pos="4153"/>
        <w:tab w:val="right" w:pos="8306"/>
      </w:tabs>
      <w:snapToGrid w:val="0"/>
      <w:jc w:val="left"/>
    </w:pPr>
    <w:rPr>
      <w:sz w:val="18"/>
      <w:szCs w:val="18"/>
    </w:rPr>
  </w:style>
  <w:style w:type="paragraph" w:styleId="a4">
    <w:name w:val="header"/>
    <w:basedOn w:val="a"/>
    <w:link w:val="Char0"/>
    <w:uiPriority w:val="99"/>
    <w:unhideWhenUsed/>
    <w:qFormat/>
    <w:pPr>
      <w:pBdr>
        <w:bottom w:val="single" w:sz="6" w:space="1" w:color="auto"/>
      </w:pBdr>
      <w:tabs>
        <w:tab w:val="center" w:pos="4153"/>
        <w:tab w:val="right" w:pos="8306"/>
      </w:tabs>
      <w:snapToGrid w:val="0"/>
      <w:jc w:val="center"/>
    </w:pPr>
    <w:rPr>
      <w:sz w:val="18"/>
      <w:szCs w:val="18"/>
    </w:rPr>
  </w:style>
  <w:style w:type="paragraph" w:styleId="a5">
    <w:name w:val="Normal (Web)"/>
    <w:basedOn w:val="a"/>
    <w:uiPriority w:val="99"/>
    <w:unhideWhenUsed/>
    <w:qFormat/>
    <w:pPr>
      <w:spacing w:after="150"/>
      <w:jc w:val="left"/>
    </w:pPr>
    <w:rPr>
      <w:rFonts w:cs="Times New Roman"/>
      <w:kern w:val="0"/>
      <w:sz w:val="24"/>
    </w:rPr>
  </w:style>
  <w:style w:type="character" w:styleId="a6">
    <w:name w:val="Strong"/>
    <w:basedOn w:val="a0"/>
    <w:uiPriority w:val="22"/>
    <w:qFormat/>
    <w:rPr>
      <w:b/>
    </w:rPr>
  </w:style>
  <w:style w:type="character" w:customStyle="1" w:styleId="Char0">
    <w:name w:val="页眉 Char"/>
    <w:basedOn w:val="a0"/>
    <w:link w:val="a4"/>
    <w:uiPriority w:val="99"/>
    <w:qFormat/>
    <w:rPr>
      <w:sz w:val="18"/>
      <w:szCs w:val="18"/>
    </w:rPr>
  </w:style>
  <w:style w:type="character" w:customStyle="1" w:styleId="Char">
    <w:name w:val="页脚 Char"/>
    <w:basedOn w:val="a0"/>
    <w:link w:val="a3"/>
    <w:uiPriority w:val="99"/>
    <w:qFormat/>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21</TotalTime>
  <Pages>3</Pages>
  <Words>210</Words>
  <Characters>1200</Characters>
  <Application>Microsoft Office Word</Application>
  <DocSecurity>0</DocSecurity>
  <Lines>10</Lines>
  <Paragraphs>2</Paragraphs>
  <ScaleCrop>false</ScaleCrop>
  <Company/>
  <LinksUpToDate>false</LinksUpToDate>
  <CharactersWithSpaces>1408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李志恒</dc:creator>
  <cp:lastModifiedBy>李志恒</cp:lastModifiedBy>
  <cp:revision>4</cp:revision>
  <dcterms:created xsi:type="dcterms:W3CDTF">2022-07-07T04:09:00Z</dcterms:created>
  <dcterms:modified xsi:type="dcterms:W3CDTF">2023-07-13T12:07:00Z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777833E2E01147DEB881E75ABFD6A3A3</vt:lpwstr>
  </property>
</Properties>
</file>