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4DB21C7">
      <w:pPr>
        <w:ind w:firstLine="360" w:firstLineChars="100"/>
        <w:jc w:val="center"/>
        <w:rPr>
          <w:rFonts w:ascii="方正小标宋简体" w:hAnsi="黑体" w:eastAsia="方正小标宋简体" w:cs="仿宋_GB2312"/>
          <w:bCs/>
          <w:sz w:val="36"/>
          <w:szCs w:val="36"/>
        </w:rPr>
      </w:pPr>
      <w:r>
        <w:rPr>
          <w:rFonts w:hint="eastAsia" w:ascii="方正小标宋简体" w:hAnsi="黑体" w:eastAsia="方正小标宋简体" w:cs="仿宋_GB2312"/>
          <w:bCs/>
          <w:sz w:val="36"/>
          <w:szCs w:val="36"/>
        </w:rPr>
        <w:t>中国国际</w:t>
      </w:r>
      <w:r>
        <w:rPr>
          <w:rFonts w:ascii="方正小标宋简体" w:hAnsi="黑体" w:eastAsia="方正小标宋简体" w:cs="仿宋_GB2312"/>
          <w:bCs/>
          <w:sz w:val="36"/>
          <w:szCs w:val="36"/>
        </w:rPr>
        <w:t>大学生创新大赛</w:t>
      </w:r>
      <w:r>
        <w:rPr>
          <w:rFonts w:hint="eastAsia" w:ascii="方正小标宋简体" w:hAnsi="黑体" w:eastAsia="方正小标宋简体" w:cs="仿宋_GB2312"/>
          <w:bCs/>
          <w:sz w:val="36"/>
          <w:szCs w:val="36"/>
        </w:rPr>
        <w:t>（2024）评审规则</w:t>
      </w:r>
    </w:p>
    <w:p w14:paraId="75ABBAF6">
      <w:pPr>
        <w:ind w:firstLine="320" w:firstLineChars="100"/>
        <w:jc w:val="left"/>
        <w:rPr>
          <w:rFonts w:ascii="黑体" w:hAnsi="黑体" w:eastAsia="黑体" w:cs="仿宋_GB2312"/>
          <w:bCs/>
          <w:sz w:val="32"/>
          <w:szCs w:val="32"/>
        </w:rPr>
      </w:pPr>
      <w:r>
        <w:rPr>
          <w:rFonts w:hint="eastAsia" w:ascii="黑体" w:hAnsi="黑体" w:eastAsia="黑体" w:cs="仿宋_GB2312"/>
          <w:bCs/>
          <w:sz w:val="32"/>
          <w:szCs w:val="32"/>
        </w:rPr>
        <w:t>一、高教主赛道项目评审要点：创意组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2"/>
        <w:gridCol w:w="12381"/>
        <w:gridCol w:w="973"/>
      </w:tblGrid>
      <w:tr w14:paraId="514E4B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4" w:type="pct"/>
            <w:vAlign w:val="center"/>
          </w:tcPr>
          <w:p w14:paraId="5830703E">
            <w:pPr>
              <w:jc w:val="center"/>
              <w:rPr>
                <w:rFonts w:ascii="黑体" w:hAnsi="黑体" w:eastAsia="黑体" w:cs="仿宋_GB2312"/>
                <w:bCs/>
                <w:sz w:val="24"/>
                <w:szCs w:val="24"/>
              </w:rPr>
            </w:pPr>
            <w:r>
              <w:rPr>
                <w:rFonts w:hint="eastAsia" w:ascii="黑体" w:hAnsi="黑体" w:eastAsia="黑体" w:cs="仿宋_GB2312"/>
                <w:bCs/>
                <w:sz w:val="24"/>
                <w:szCs w:val="24"/>
              </w:rPr>
              <w:t>评审要点</w:t>
            </w:r>
          </w:p>
        </w:tc>
        <w:tc>
          <w:tcPr>
            <w:tcW w:w="4186" w:type="pct"/>
            <w:vAlign w:val="center"/>
          </w:tcPr>
          <w:p w14:paraId="554EE48C">
            <w:pPr>
              <w:jc w:val="center"/>
              <w:rPr>
                <w:rFonts w:ascii="黑体" w:hAnsi="黑体" w:eastAsia="黑体" w:cs="仿宋_GB2312"/>
                <w:bCs/>
                <w:sz w:val="24"/>
                <w:szCs w:val="24"/>
              </w:rPr>
            </w:pPr>
            <w:r>
              <w:rPr>
                <w:rFonts w:hint="eastAsia" w:ascii="黑体" w:hAnsi="黑体" w:eastAsia="黑体" w:cs="仿宋_GB2312"/>
                <w:bCs/>
                <w:sz w:val="24"/>
                <w:szCs w:val="24"/>
              </w:rPr>
              <w:t>评审内容</w:t>
            </w:r>
          </w:p>
        </w:tc>
        <w:tc>
          <w:tcPr>
            <w:tcW w:w="329" w:type="pct"/>
            <w:vAlign w:val="center"/>
          </w:tcPr>
          <w:p w14:paraId="4EA2A986">
            <w:pPr>
              <w:jc w:val="center"/>
              <w:rPr>
                <w:rFonts w:ascii="黑体" w:hAnsi="黑体" w:eastAsia="黑体" w:cs="仿宋_GB2312"/>
                <w:bCs/>
                <w:sz w:val="24"/>
                <w:szCs w:val="24"/>
              </w:rPr>
            </w:pPr>
            <w:r>
              <w:rPr>
                <w:rFonts w:hint="eastAsia" w:ascii="黑体" w:hAnsi="黑体" w:eastAsia="黑体" w:cs="仿宋_GB2312"/>
                <w:bCs/>
                <w:sz w:val="24"/>
                <w:szCs w:val="24"/>
              </w:rPr>
              <w:t>分值</w:t>
            </w:r>
          </w:p>
        </w:tc>
      </w:tr>
      <w:tr w14:paraId="5317C5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9" w:hRule="atLeast"/>
        </w:trPr>
        <w:tc>
          <w:tcPr>
            <w:tcW w:w="484" w:type="pct"/>
            <w:vAlign w:val="center"/>
          </w:tcPr>
          <w:p w14:paraId="43AAB537">
            <w:pPr>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教育维度</w:t>
            </w:r>
          </w:p>
        </w:tc>
        <w:tc>
          <w:tcPr>
            <w:tcW w:w="4186" w:type="pct"/>
            <w:vAlign w:val="center"/>
          </w:tcPr>
          <w:p w14:paraId="06F6D155">
            <w:pPr>
              <w:spacing w:before="217" w:beforeLines="5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项目应弘扬正确的价值观，厚植家国情怀，恪守伦理规范，有助于培育创新精神。</w:t>
            </w:r>
          </w:p>
          <w:p w14:paraId="45C94EE5">
            <w:pPr>
              <w:jc w:val="lef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.项目符合将专业知识与商业知识有效结合并转化为商业价值或社会价值的创新创业基本过程和基本逻辑，展现创新教育对大学生基本素养和认知的塑造力。</w:t>
            </w:r>
          </w:p>
          <w:p w14:paraId="56E476B0">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.体现团队对创新创业所需知识（专业知识、商业知识、行业知识等）与技能（计划、组织、领导、控制、创新等）的娴熟掌握与应用，展现创新教育提升大学生综合能力的效力。</w:t>
            </w:r>
          </w:p>
          <w:p w14:paraId="15AA336E">
            <w:pPr>
              <w:jc w:val="left"/>
              <w:rPr>
                <w:rFonts w:ascii="仿宋_GB2312" w:hAnsi="仿宋_GB2312" w:eastAsia="仿宋_GB2312" w:cs="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.项目充分体现团队解决复杂问题的综合能力和高级思维；体现项目成长对团队成员创新精神、创新意识、创新能力的锻炼和提升作用。</w:t>
            </w:r>
          </w:p>
          <w:p w14:paraId="3D83AF3E">
            <w:pPr>
              <w:spacing w:after="217" w:afterLines="50"/>
              <w:jc w:val="left"/>
              <w:rPr>
                <w:rFonts w:ascii="仿宋_GB2312" w:hAnsi="仿宋_GB2312" w:eastAsia="仿宋_GB2312" w:cs="仿宋_GB2312"/>
                <w:bCs/>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项目能充分体现院校在“三位一体”统筹推进教育、科技、人才工作，扎实推进新工科、新医科、新农科、新文科建设方面取得的成果；体现院校在项目的培育、孵化等方面的支持情况；体现产教融合、科教融汇、多学科交叉、专创融合、产学研协同创新等模式在项目的产生与执行中的重要作用。</w:t>
            </w:r>
          </w:p>
        </w:tc>
        <w:tc>
          <w:tcPr>
            <w:tcW w:w="329" w:type="pct"/>
            <w:vAlign w:val="center"/>
          </w:tcPr>
          <w:p w14:paraId="7FE6C4C5">
            <w:pPr>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30</w:t>
            </w:r>
          </w:p>
        </w:tc>
      </w:tr>
      <w:tr w14:paraId="624F17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pct"/>
            <w:vAlign w:val="center"/>
          </w:tcPr>
          <w:p w14:paraId="51F93865">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86" w:type="pct"/>
            <w:vAlign w:val="center"/>
          </w:tcPr>
          <w:p w14:paraId="60F56C95">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1.项目遵循从创意到研发、试制、生产、进入市场的创新一般过程，进而实现从创意向实践、从基础研发向应用研发的跨越。</w:t>
            </w:r>
          </w:p>
          <w:p w14:paraId="42536D91">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2.团队能够基于学科专业知识并运用各类创新的理念和范式，解决社会和市场的实际需求。</w:t>
            </w:r>
          </w:p>
          <w:p w14:paraId="159F1A90">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3.项目能够从产品创新、工艺流程创新、服务创新、商业模式创新等方面着手开展创新创业实践，并产生一定数量和质量的创新成果以体现团队的创新力。</w:t>
            </w:r>
          </w:p>
        </w:tc>
        <w:tc>
          <w:tcPr>
            <w:tcW w:w="329" w:type="pct"/>
            <w:vAlign w:val="center"/>
          </w:tcPr>
          <w:p w14:paraId="13CAB359">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30</w:t>
            </w:r>
          </w:p>
        </w:tc>
      </w:tr>
      <w:tr w14:paraId="4B50DA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4" w:type="pct"/>
            <w:vAlign w:val="center"/>
          </w:tcPr>
          <w:p w14:paraId="0F38FBE2">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6" w:type="pct"/>
            <w:vAlign w:val="center"/>
          </w:tcPr>
          <w:p w14:paraId="1823BB1C">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1.团队的组成原则与过程是否科学合理；团队是否具有支撑项目成长的知识、技术和经验；是否有明确的使命愿景。</w:t>
            </w:r>
          </w:p>
          <w:p w14:paraId="2DCDE8E1">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2.团队的组织构架、人员配置、分工协作、能力结构、专业结构、合作机制、激励制度等的合理性情况。</w:t>
            </w:r>
          </w:p>
          <w:p w14:paraId="4F6BD30F">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3.团队与项目关系的真实性、紧密性情况；对项目的各项投入情况；创立创业企业的可能性情况。</w:t>
            </w:r>
          </w:p>
          <w:p w14:paraId="768CBFB0">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4.支撑项目发展的合作伙伴等外部资源的使用以及与项目关系的情况。</w:t>
            </w:r>
          </w:p>
        </w:tc>
        <w:tc>
          <w:tcPr>
            <w:tcW w:w="329" w:type="pct"/>
            <w:vAlign w:val="center"/>
          </w:tcPr>
          <w:p w14:paraId="10A2A998">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w:t>
            </w:r>
          </w:p>
        </w:tc>
      </w:tr>
      <w:tr w14:paraId="4516C5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484" w:type="pct"/>
            <w:vAlign w:val="center"/>
          </w:tcPr>
          <w:p w14:paraId="77C80B29">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商业维度</w:t>
            </w:r>
          </w:p>
        </w:tc>
        <w:tc>
          <w:tcPr>
            <w:tcW w:w="4186" w:type="pct"/>
            <w:vAlign w:val="center"/>
          </w:tcPr>
          <w:p w14:paraId="506129F1">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1.充分了解所在产业（行业）的产业规模、增长速度、竞争格局、产业趋势、产业政策等情况，形成完备、深刻的产业认知。</w:t>
            </w:r>
          </w:p>
          <w:p w14:paraId="3A92DABE">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2.项目具有明确的目标市场定位，对目标市场的特征、需求等情况有清晰的了解，并据此制定合理的营销、运营、财务等计划，设计出完整、创新、可行的商业模式，展现团队的商业思维。</w:t>
            </w:r>
          </w:p>
          <w:p w14:paraId="2EDE7CD9">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3.项目落地执行情况；项目对促进区域经济发展、产业转型升级的情况；已有盈利能力或盈利潜力情况。</w:t>
            </w:r>
          </w:p>
        </w:tc>
        <w:tc>
          <w:tcPr>
            <w:tcW w:w="329" w:type="pct"/>
            <w:vAlign w:val="center"/>
          </w:tcPr>
          <w:p w14:paraId="286851CC">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15</w:t>
            </w:r>
          </w:p>
        </w:tc>
      </w:tr>
      <w:tr w14:paraId="6D17BF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14:paraId="1593F639">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社会价值维度</w:t>
            </w:r>
          </w:p>
        </w:tc>
        <w:tc>
          <w:tcPr>
            <w:tcW w:w="4186" w:type="pct"/>
            <w:vAlign w:val="center"/>
          </w:tcPr>
          <w:p w14:paraId="6859ADA4">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1.项目直接提供就业岗位的数量和质量。</w:t>
            </w:r>
          </w:p>
          <w:p w14:paraId="53674A9D">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2.项目间接带动就业的能力和规模。</w:t>
            </w:r>
          </w:p>
          <w:p w14:paraId="3CA6414D">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3.项目对社会文明、生态文明、民生福祉等方面的积极推动作用。</w:t>
            </w:r>
          </w:p>
        </w:tc>
        <w:tc>
          <w:tcPr>
            <w:tcW w:w="329" w:type="pct"/>
            <w:vAlign w:val="center"/>
          </w:tcPr>
          <w:p w14:paraId="5123FFC3">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r>
    </w:tbl>
    <w:p w14:paraId="4308F5B8">
      <w:pPr>
        <w:widowControl/>
      </w:pPr>
    </w:p>
    <w:p w14:paraId="605ECC40">
      <w:pPr>
        <w:widowControl/>
        <w:rPr>
          <w:rFonts w:ascii="黑体" w:hAnsi="黑体" w:eastAsia="黑体" w:cs="仿宋_GB2312"/>
          <w:bCs/>
          <w:sz w:val="32"/>
          <w:szCs w:val="32"/>
        </w:rPr>
        <w:sectPr>
          <w:footerReference r:id="rId3" w:type="default"/>
          <w:pgSz w:w="16838" w:h="11906" w:orient="landscape"/>
          <w:pgMar w:top="1021" w:right="1134" w:bottom="1021" w:left="1134" w:header="567" w:footer="851" w:gutter="0"/>
          <w:cols w:space="425" w:num="1"/>
          <w:docGrid w:type="linesAndChars" w:linePitch="435" w:charSpace="0"/>
        </w:sectPr>
      </w:pPr>
    </w:p>
    <w:p w14:paraId="0043C138">
      <w:pPr>
        <w:widowControl/>
        <w:rPr>
          <w:rFonts w:ascii="黑体" w:hAnsi="黑体" w:eastAsia="黑体" w:cs="仿宋_GB2312"/>
          <w:bCs/>
          <w:sz w:val="32"/>
          <w:szCs w:val="32"/>
        </w:rPr>
      </w:pPr>
      <w:r>
        <w:rPr>
          <w:rFonts w:hint="eastAsia" w:ascii="黑体" w:hAnsi="黑体" w:eastAsia="黑体" w:cs="仿宋_GB2312"/>
          <w:bCs/>
          <w:sz w:val="32"/>
          <w:szCs w:val="32"/>
        </w:rPr>
        <w:t>二、高教主赛道项目评审要点：创业组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12382"/>
        <w:gridCol w:w="973"/>
      </w:tblGrid>
      <w:tr w14:paraId="442860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4" w:type="pct"/>
            <w:vAlign w:val="center"/>
          </w:tcPr>
          <w:p w14:paraId="425836C5">
            <w:pPr>
              <w:jc w:val="center"/>
              <w:rPr>
                <w:rFonts w:ascii="黑体" w:hAnsi="黑体" w:eastAsia="黑体" w:cs="仿宋_GB2312"/>
                <w:bCs/>
                <w:sz w:val="24"/>
                <w:szCs w:val="24"/>
              </w:rPr>
            </w:pPr>
            <w:r>
              <w:rPr>
                <w:rFonts w:hint="eastAsia" w:ascii="黑体" w:hAnsi="黑体" w:eastAsia="黑体" w:cs="仿宋_GB2312"/>
                <w:bCs/>
                <w:sz w:val="24"/>
                <w:szCs w:val="24"/>
              </w:rPr>
              <w:t>评审要点</w:t>
            </w:r>
          </w:p>
        </w:tc>
        <w:tc>
          <w:tcPr>
            <w:tcW w:w="4187" w:type="pct"/>
            <w:vAlign w:val="center"/>
          </w:tcPr>
          <w:p w14:paraId="4D39EA99">
            <w:pPr>
              <w:jc w:val="center"/>
              <w:rPr>
                <w:rFonts w:ascii="黑体" w:hAnsi="黑体" w:eastAsia="黑体" w:cs="仿宋_GB2312"/>
                <w:bCs/>
                <w:sz w:val="24"/>
                <w:szCs w:val="24"/>
              </w:rPr>
            </w:pPr>
            <w:r>
              <w:rPr>
                <w:rFonts w:hint="eastAsia" w:ascii="黑体" w:hAnsi="黑体" w:eastAsia="黑体" w:cs="仿宋_GB2312"/>
                <w:bCs/>
                <w:sz w:val="24"/>
                <w:szCs w:val="24"/>
              </w:rPr>
              <w:t>评审内容</w:t>
            </w:r>
          </w:p>
        </w:tc>
        <w:tc>
          <w:tcPr>
            <w:tcW w:w="329" w:type="pct"/>
            <w:vAlign w:val="center"/>
          </w:tcPr>
          <w:p w14:paraId="41E9DF4D">
            <w:pPr>
              <w:jc w:val="center"/>
              <w:rPr>
                <w:rFonts w:ascii="黑体" w:hAnsi="黑体" w:eastAsia="黑体" w:cs="仿宋_GB2312"/>
                <w:bCs/>
                <w:sz w:val="24"/>
                <w:szCs w:val="24"/>
              </w:rPr>
            </w:pPr>
            <w:r>
              <w:rPr>
                <w:rFonts w:hint="eastAsia" w:ascii="黑体" w:hAnsi="黑体" w:eastAsia="黑体" w:cs="仿宋_GB2312"/>
                <w:bCs/>
                <w:sz w:val="24"/>
                <w:szCs w:val="24"/>
              </w:rPr>
              <w:t>分值</w:t>
            </w:r>
          </w:p>
        </w:tc>
      </w:tr>
      <w:tr w14:paraId="467D7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4" w:hRule="atLeast"/>
        </w:trPr>
        <w:tc>
          <w:tcPr>
            <w:tcW w:w="484" w:type="pct"/>
            <w:vAlign w:val="center"/>
          </w:tcPr>
          <w:p w14:paraId="5BFD36BE">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教育维度</w:t>
            </w:r>
          </w:p>
        </w:tc>
        <w:tc>
          <w:tcPr>
            <w:tcW w:w="4187" w:type="pct"/>
            <w:vAlign w:val="center"/>
          </w:tcPr>
          <w:p w14:paraId="1C2A05EB">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项目应弘扬正确的价值观，厚植家国情怀，恪守伦理规范，有助于培育创新精神。</w:t>
            </w:r>
          </w:p>
          <w:p w14:paraId="1331DB9F">
            <w:pPr>
              <w:jc w:val="lef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.项目符合将专业知识与商业知识有效结合并转化为商业价值或社会价值的创新创业基本过程和基本逻辑，展现创新教育对大学生基本素养和认知的塑造力。</w:t>
            </w:r>
          </w:p>
          <w:p w14:paraId="7AC30EAB">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.体现团队对创新创业所需知识（专业知识、商业知识、行业知识等）与技能（计划、组织、领导、控制、创新等）的娴熟掌握与应用，展现创新教育提升大学生综合能力的效力。</w:t>
            </w:r>
          </w:p>
          <w:p w14:paraId="2816A0E5">
            <w:pPr>
              <w:jc w:val="left"/>
              <w:rPr>
                <w:rFonts w:ascii="仿宋_GB2312" w:hAnsi="仿宋_GB2312" w:eastAsia="仿宋_GB2312" w:cs="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.项目充分体现团队解决复杂问题的综合能力和高级思维；体现项目成长对团队成员创新精神、创新意识、创新能力的锻炼和提升作用。</w:t>
            </w:r>
          </w:p>
          <w:p w14:paraId="072744E4">
            <w:pPr>
              <w:jc w:val="left"/>
              <w:rPr>
                <w:rFonts w:ascii="仿宋_GB2312" w:hAnsi="仿宋_GB2312" w:eastAsia="仿宋_GB2312" w:cs="仿宋_GB2312"/>
                <w:sz w:val="24"/>
                <w:szCs w:val="24"/>
              </w:rPr>
            </w:pPr>
            <w:r>
              <w:rPr>
                <w:rFonts w:ascii="仿宋_GB2312" w:hAnsi="仿宋_GB2312" w:eastAsia="仿宋_GB2312" w:cs="仿宋_GB2312"/>
                <w:sz w:val="24"/>
                <w:szCs w:val="24"/>
              </w:rPr>
              <w:t>5</w:t>
            </w:r>
            <w:r>
              <w:rPr>
                <w:rFonts w:hint="eastAsia" w:ascii="仿宋_GB2312" w:hAnsi="仿宋_GB2312" w:eastAsia="仿宋_GB2312" w:cs="仿宋_GB2312"/>
                <w:sz w:val="24"/>
                <w:szCs w:val="24"/>
              </w:rPr>
              <w:t>.项目能充分体现院校在“三位一体”统筹推进教育、科技、人才工作，扎实推进新工科、新医科、新农科、新文科建设方面取得的成果；体现院校在项目的培育、孵化等方面的支持情况；体现产教融合、科教融汇、多学科交叉、专创融合、产学研协同创新等模式在项目的产生与执行中的重要作用。</w:t>
            </w:r>
          </w:p>
        </w:tc>
        <w:tc>
          <w:tcPr>
            <w:tcW w:w="329" w:type="pct"/>
            <w:vAlign w:val="center"/>
          </w:tcPr>
          <w:p w14:paraId="088A8E30">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14:paraId="17B78B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74" w:hRule="atLeast"/>
        </w:trPr>
        <w:tc>
          <w:tcPr>
            <w:tcW w:w="484" w:type="pct"/>
            <w:vAlign w:val="center"/>
          </w:tcPr>
          <w:p w14:paraId="09CEE1CF">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87" w:type="pct"/>
            <w:vAlign w:val="center"/>
          </w:tcPr>
          <w:p w14:paraId="1F4CD9D8">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1.项目遵循从创意到研发、试制、生产、进入市场的创新一般过程，进而实现从创意向实践、从基础研发向应用研发的跨越。</w:t>
            </w:r>
          </w:p>
          <w:p w14:paraId="624DEC0A">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2.团队能够基于专业知识并运用各类创新的理念和范式，解决社会和市场的实际需求。</w:t>
            </w:r>
          </w:p>
          <w:p w14:paraId="62651ACA">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3.项目能够从产品创新、工艺流程创新、服务创新、商业模式创新等方面着手开展创新实践，产生一定数量和质量的创新成果，获得相应的市场回报。</w:t>
            </w:r>
          </w:p>
          <w:p w14:paraId="60B96E68">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4.项目能够从创新战略、创新流程、创新组织、创新制度与文化等方面进行设计协同，对创新进行有效管理，进而保持公司的竞争力。</w:t>
            </w:r>
          </w:p>
        </w:tc>
        <w:tc>
          <w:tcPr>
            <w:tcW w:w="329" w:type="pct"/>
            <w:vAlign w:val="center"/>
          </w:tcPr>
          <w:p w14:paraId="44CD6C10">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30</w:t>
            </w:r>
          </w:p>
        </w:tc>
      </w:tr>
      <w:tr w14:paraId="28225E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6" w:hRule="atLeast"/>
        </w:trPr>
        <w:tc>
          <w:tcPr>
            <w:tcW w:w="484" w:type="pct"/>
            <w:vAlign w:val="center"/>
          </w:tcPr>
          <w:p w14:paraId="1FC2BC08">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7" w:type="pct"/>
            <w:vAlign w:val="center"/>
          </w:tcPr>
          <w:p w14:paraId="6BCDCC51">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1.团队的组成原则与过程是否科学合理；团队是否具有独特的支撑项目成长的知识、技能、经验以及成熟的外部资源网络；是否有明确的使命愿景。</w:t>
            </w:r>
          </w:p>
          <w:p w14:paraId="512442D9">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2.公司是否具有合理的组织构架、清晰的指挥链、科学的决策机制；是否有合理的岗位设置、分工协作、专业能力结构；是否有良好的内部沟通机制；是否有合理的股权结构、激励制度等。</w:t>
            </w:r>
          </w:p>
          <w:p w14:paraId="77256FBF">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3.团队对项目的各项投入情况及团队成员的稳定性情况。</w:t>
            </w:r>
          </w:p>
          <w:p w14:paraId="0CB43CE0">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4.支撑公司发展的合作伙伴等外部资源的使用以及与公司关系的情况。</w:t>
            </w:r>
          </w:p>
        </w:tc>
        <w:tc>
          <w:tcPr>
            <w:tcW w:w="329" w:type="pct"/>
            <w:vAlign w:val="center"/>
          </w:tcPr>
          <w:p w14:paraId="7990192A">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15</w:t>
            </w:r>
          </w:p>
        </w:tc>
      </w:tr>
      <w:tr w14:paraId="1AA137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6" w:hRule="atLeast"/>
        </w:trPr>
        <w:tc>
          <w:tcPr>
            <w:tcW w:w="484" w:type="pct"/>
            <w:vAlign w:val="center"/>
          </w:tcPr>
          <w:p w14:paraId="55B64221">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商业维度</w:t>
            </w:r>
          </w:p>
        </w:tc>
        <w:tc>
          <w:tcPr>
            <w:tcW w:w="4187" w:type="pct"/>
            <w:vAlign w:val="center"/>
          </w:tcPr>
          <w:p w14:paraId="4C13CBF9">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1.充分掌握所在产业（行业）的产业规模、增长速度、竞争格局、产业趋势、产业政策等情况；具有明确的目标市场定位，充分掌握目标市场的特征、需求等情况；具有完整、创新、可行的商业模式。</w:t>
            </w:r>
          </w:p>
          <w:p w14:paraId="2E84DD16">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2.经营绩效方面，重点考察项目存续时间、营业收入（合同订单）现状、企业利润、持续盈利能力、市场份额、客户（用户）情况、税收上缴、投入与产出比等情况。</w:t>
            </w:r>
          </w:p>
          <w:p w14:paraId="3A224F5D">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3.经营管理方面，是否有清晰的企业发展目标；是否有完备的研发、生产、运营、营销等制度和体系；是否采用先进、科学的管理方法，以确保企业具有较强的竞争力。</w:t>
            </w:r>
          </w:p>
          <w:p w14:paraId="514B695E">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4.成长性方面，是否有清晰、有效、全方位的企业发展战略，并拥有可靠的内外部资源（人才、资金、技术等方面）实现企业战略，以建立企业的持续竞争优势。</w:t>
            </w:r>
          </w:p>
          <w:p w14:paraId="55161908">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5.现金流及融资方面，关注项目融资情况、获取资金渠道情况、企业经营的现金流情况、融资需求及资金使用情况是否合理。</w:t>
            </w:r>
          </w:p>
          <w:p w14:paraId="4BCB3899">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6.项目对促进区域经济发展、产业转型升级的情况。</w:t>
            </w:r>
          </w:p>
        </w:tc>
        <w:tc>
          <w:tcPr>
            <w:tcW w:w="329" w:type="pct"/>
            <w:vAlign w:val="center"/>
          </w:tcPr>
          <w:p w14:paraId="4E47269D">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25</w:t>
            </w:r>
          </w:p>
        </w:tc>
      </w:tr>
      <w:tr w14:paraId="522A7B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14:paraId="5DB8BE31">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社会价值维度</w:t>
            </w:r>
          </w:p>
        </w:tc>
        <w:tc>
          <w:tcPr>
            <w:tcW w:w="4187" w:type="pct"/>
            <w:vAlign w:val="center"/>
          </w:tcPr>
          <w:p w14:paraId="13653ED6">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1.项目直接提供就业岗位的数量和质量。</w:t>
            </w:r>
          </w:p>
          <w:p w14:paraId="2E2853D6">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2.项目间接带动就业的能力和规模。</w:t>
            </w:r>
          </w:p>
          <w:p w14:paraId="5C250624">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3.项目对社会文明、生态文明、民生福祉等方面的积极推动作用。</w:t>
            </w:r>
          </w:p>
        </w:tc>
        <w:tc>
          <w:tcPr>
            <w:tcW w:w="329" w:type="pct"/>
            <w:vAlign w:val="center"/>
          </w:tcPr>
          <w:p w14:paraId="13698546">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r>
    </w:tbl>
    <w:p w14:paraId="42BDFEDA">
      <w:pPr>
        <w:jc w:val="left"/>
        <w:rPr>
          <w:rFonts w:ascii="黑体" w:hAnsi="黑体" w:eastAsia="黑体" w:cs="仿宋_GB2312"/>
          <w:bCs/>
          <w:sz w:val="28"/>
          <w:szCs w:val="28"/>
        </w:rPr>
      </w:pPr>
    </w:p>
    <w:p w14:paraId="40D3F8F4">
      <w:pPr>
        <w:jc w:val="left"/>
        <w:rPr>
          <w:rFonts w:ascii="黑体" w:hAnsi="黑体" w:eastAsia="黑体" w:cs="仿宋_GB2312"/>
          <w:bCs/>
          <w:sz w:val="32"/>
          <w:szCs w:val="32"/>
        </w:rPr>
        <w:sectPr>
          <w:pgSz w:w="16838" w:h="11906" w:orient="landscape"/>
          <w:pgMar w:top="1021" w:right="1134" w:bottom="1021" w:left="1134" w:header="567" w:footer="851" w:gutter="0"/>
          <w:cols w:space="425" w:num="1"/>
          <w:docGrid w:type="linesAndChars" w:linePitch="435" w:charSpace="0"/>
        </w:sectPr>
      </w:pPr>
    </w:p>
    <w:p w14:paraId="694A327A">
      <w:pPr>
        <w:jc w:val="left"/>
        <w:rPr>
          <w:rFonts w:ascii="黑体" w:hAnsi="黑体" w:eastAsia="黑体" w:cs="仿宋_GB2312"/>
          <w:bCs/>
          <w:sz w:val="32"/>
          <w:szCs w:val="32"/>
        </w:rPr>
      </w:pPr>
      <w:r>
        <w:rPr>
          <w:rFonts w:hint="eastAsia" w:ascii="黑体" w:hAnsi="黑体" w:eastAsia="黑体" w:cs="仿宋_GB2312"/>
          <w:bCs/>
          <w:sz w:val="32"/>
          <w:szCs w:val="32"/>
        </w:rPr>
        <w:t>三、“青年红色筑梦之旅”赛道项目评审要点：公益组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8"/>
        <w:gridCol w:w="12385"/>
        <w:gridCol w:w="973"/>
      </w:tblGrid>
      <w:tr w14:paraId="57E148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3" w:type="pct"/>
            <w:vAlign w:val="center"/>
          </w:tcPr>
          <w:p w14:paraId="5E7F4F28">
            <w:pPr>
              <w:jc w:val="center"/>
              <w:rPr>
                <w:rFonts w:ascii="黑体" w:hAnsi="黑体" w:eastAsia="黑体" w:cs="仿宋_GB2312"/>
                <w:bCs/>
                <w:sz w:val="24"/>
                <w:szCs w:val="24"/>
              </w:rPr>
            </w:pPr>
            <w:r>
              <w:rPr>
                <w:rFonts w:hint="eastAsia" w:ascii="黑体" w:hAnsi="黑体" w:eastAsia="黑体" w:cs="仿宋_GB2312"/>
                <w:bCs/>
                <w:sz w:val="24"/>
                <w:szCs w:val="24"/>
              </w:rPr>
              <w:t>评审要点</w:t>
            </w:r>
          </w:p>
        </w:tc>
        <w:tc>
          <w:tcPr>
            <w:tcW w:w="4188" w:type="pct"/>
            <w:vAlign w:val="center"/>
          </w:tcPr>
          <w:p w14:paraId="550C8D64">
            <w:pPr>
              <w:jc w:val="center"/>
              <w:rPr>
                <w:rFonts w:ascii="黑体" w:hAnsi="黑体" w:eastAsia="黑体" w:cs="仿宋_GB2312"/>
                <w:bCs/>
                <w:sz w:val="24"/>
                <w:szCs w:val="24"/>
              </w:rPr>
            </w:pPr>
            <w:r>
              <w:rPr>
                <w:rFonts w:hint="eastAsia" w:ascii="黑体" w:hAnsi="黑体" w:eastAsia="黑体" w:cs="仿宋_GB2312"/>
                <w:bCs/>
                <w:sz w:val="24"/>
                <w:szCs w:val="24"/>
              </w:rPr>
              <w:t>评审内容</w:t>
            </w:r>
          </w:p>
        </w:tc>
        <w:tc>
          <w:tcPr>
            <w:tcW w:w="329" w:type="pct"/>
            <w:vAlign w:val="center"/>
          </w:tcPr>
          <w:p w14:paraId="5D9929B1">
            <w:pPr>
              <w:jc w:val="center"/>
              <w:rPr>
                <w:rFonts w:ascii="黑体" w:hAnsi="黑体" w:eastAsia="黑体" w:cs="仿宋_GB2312"/>
                <w:bCs/>
                <w:sz w:val="24"/>
                <w:szCs w:val="24"/>
              </w:rPr>
            </w:pPr>
            <w:r>
              <w:rPr>
                <w:rFonts w:hint="eastAsia" w:ascii="黑体" w:hAnsi="黑体" w:eastAsia="黑体" w:cs="仿宋_GB2312"/>
                <w:bCs/>
                <w:sz w:val="24"/>
                <w:szCs w:val="24"/>
              </w:rPr>
              <w:t>分值</w:t>
            </w:r>
          </w:p>
        </w:tc>
      </w:tr>
      <w:tr w14:paraId="28C409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78A7A1ED">
            <w:pPr>
              <w:jc w:val="center"/>
              <w:rPr>
                <w:rFonts w:ascii="仿宋_GB2312" w:hAnsi="仿宋_GB2312" w:eastAsia="仿宋_GB2312" w:cs="仿宋_GB2312"/>
                <w:bCs/>
                <w:sz w:val="24"/>
                <w:szCs w:val="24"/>
              </w:rPr>
            </w:pPr>
            <w:r>
              <w:rPr>
                <w:rFonts w:hint="eastAsia" w:ascii="仿宋_GB2312" w:hAnsi="仿宋_GB2312" w:eastAsia="仿宋_GB2312" w:cs="仿宋_GB2312"/>
                <w:bCs/>
                <w:sz w:val="24"/>
                <w:szCs w:val="24"/>
              </w:rPr>
              <w:t>教育维度</w:t>
            </w:r>
          </w:p>
        </w:tc>
        <w:tc>
          <w:tcPr>
            <w:tcW w:w="4188" w:type="pct"/>
            <w:vAlign w:val="center"/>
          </w:tcPr>
          <w:p w14:paraId="51FC0738">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项目应弘扬正确的价值观，厚植家国情怀，恪守伦理规范，有助于培育创新精神。</w:t>
            </w:r>
          </w:p>
          <w:p w14:paraId="4CADCE94">
            <w:pPr>
              <w:jc w:val="lef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项目体现团队扎根中国大地了解国情民情，遵循发现问题、分析问题、解决问题的基本规律，将所学专业知识、技能和方法应用于解决各类社会问题，展现创新教育对大学生基本素养和认知的塑造力和提升大学生综合能力的效力。</w:t>
            </w:r>
          </w:p>
          <w:p w14:paraId="42DAD86F">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.项目充分体现团队解决复杂问题的综合能力和高级思维；体现项目成长对团队成员创新创业精神、意识、能力的锻炼和提升作用。</w:t>
            </w:r>
          </w:p>
          <w:p w14:paraId="60ADFDE7">
            <w:pPr>
              <w:jc w:val="left"/>
              <w:rPr>
                <w:rFonts w:ascii="仿宋_GB2312" w:hAnsi="仿宋_GB2312" w:eastAsia="仿宋_GB2312" w:cs="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项目能充分体现院校在“三位一体”统筹推进教育、科技、人才工作，扎实推进新工科、新医科、新农科、新文科建设方面取得的成果；项目充分体现专业教育、思政教育、创新教育的有机融合；体现院校在项目的培育、孵化等方面的支持情况。</w:t>
            </w:r>
          </w:p>
        </w:tc>
        <w:tc>
          <w:tcPr>
            <w:tcW w:w="329" w:type="pct"/>
            <w:vAlign w:val="center"/>
          </w:tcPr>
          <w:p w14:paraId="0DF2701F">
            <w:pPr>
              <w:jc w:val="center"/>
              <w:rPr>
                <w:rFonts w:ascii="仿宋_GB2312" w:hAnsi="仿宋_GB2312" w:eastAsia="仿宋_GB2312" w:cs="仿宋_GB2312"/>
                <w:bCs/>
                <w:sz w:val="24"/>
                <w:szCs w:val="24"/>
              </w:rPr>
            </w:pPr>
            <w:r>
              <w:rPr>
                <w:rFonts w:ascii="仿宋_GB2312" w:hAnsi="仿宋_GB2312" w:eastAsia="仿宋_GB2312" w:cs="仿宋_GB2312"/>
                <w:bCs/>
                <w:sz w:val="24"/>
                <w:szCs w:val="24"/>
              </w:rPr>
              <w:t>30</w:t>
            </w:r>
          </w:p>
        </w:tc>
      </w:tr>
      <w:tr w14:paraId="23872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86" w:hRule="atLeast"/>
        </w:trPr>
        <w:tc>
          <w:tcPr>
            <w:tcW w:w="483" w:type="pct"/>
            <w:vAlign w:val="center"/>
          </w:tcPr>
          <w:p w14:paraId="40E54CF8">
            <w:pPr>
              <w:jc w:val="center"/>
              <w:rPr>
                <w:rFonts w:hint="eastAsia" w:ascii="仿宋_GB2312" w:hAnsi="仿宋_GB2312" w:eastAsia="仿宋_GB2312" w:cs="仿宋_GB2312"/>
                <w:bCs/>
                <w:sz w:val="24"/>
                <w:szCs w:val="24"/>
              </w:rPr>
            </w:pPr>
            <w:r>
              <w:rPr>
                <w:rFonts w:hint="eastAsia" w:ascii="仿宋_GB2312" w:hAnsi="仿宋_GB2312" w:eastAsia="仿宋_GB2312" w:cs="仿宋_GB2312"/>
                <w:sz w:val="24"/>
                <w:szCs w:val="24"/>
              </w:rPr>
              <w:t>创新维度</w:t>
            </w:r>
          </w:p>
        </w:tc>
        <w:tc>
          <w:tcPr>
            <w:tcW w:w="4188" w:type="pct"/>
            <w:vAlign w:val="center"/>
          </w:tcPr>
          <w:p w14:paraId="43C18A60">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1.团队能够基于科学严谨的创新过程，遵循创新规律，运用各类创新的理念和范式，解决社会实际需求。</w:t>
            </w:r>
          </w:p>
          <w:p w14:paraId="72E661A2">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2.项目能够从产品创新、服务创新等方面着手开展公益创业实践，并产生一定数量和质量的创新成果。</w:t>
            </w:r>
          </w:p>
          <w:p w14:paraId="37C6A57A">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3.鼓励将高校科研成果运用到公益创业中，以解决相应的社会问题。</w:t>
            </w:r>
          </w:p>
        </w:tc>
        <w:tc>
          <w:tcPr>
            <w:tcW w:w="329" w:type="pct"/>
            <w:vAlign w:val="center"/>
          </w:tcPr>
          <w:p w14:paraId="5AC71BED">
            <w:pPr>
              <w:jc w:val="center"/>
              <w:rPr>
                <w:rFonts w:ascii="仿宋_GB2312" w:hAnsi="仿宋_GB2312" w:eastAsia="仿宋_GB2312" w:cs="仿宋_GB2312"/>
                <w:bCs/>
                <w:sz w:val="24"/>
                <w:szCs w:val="24"/>
              </w:rPr>
            </w:pPr>
            <w:r>
              <w:rPr>
                <w:rFonts w:hint="eastAsia" w:ascii="仿宋_GB2312" w:hAnsi="仿宋_GB2312" w:eastAsia="仿宋_GB2312" w:cs="仿宋_GB2312"/>
                <w:sz w:val="24"/>
                <w:szCs w:val="24"/>
              </w:rPr>
              <w:t>20</w:t>
            </w:r>
          </w:p>
        </w:tc>
      </w:tr>
      <w:tr w14:paraId="2C800F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61241582">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8" w:type="pct"/>
            <w:vAlign w:val="center"/>
          </w:tcPr>
          <w:p w14:paraId="6AB882F1">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1.团队的组成原则与过程是否科学合理；是否具有从事公益创业所需的知识、技术和经验；是否有明确的使命愿景。</w:t>
            </w:r>
          </w:p>
          <w:p w14:paraId="43843B0E">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2.团队内部的组织构架、人员配置、分工协作、能力结构、专业结构、激励制度的合理性情况；团队外部服务支撑体系完备（如志愿者团队等）、具有一定规模、实施有效管理使其发挥重要作用的情况。</w:t>
            </w:r>
          </w:p>
          <w:p w14:paraId="42DA6A51">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3.团队与项目关系的真实性、紧密性情况；团队对项目的各项投入情况；团队的延续性或接替性情况。</w:t>
            </w:r>
          </w:p>
          <w:p w14:paraId="405A0653">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4.支撑项目发展的合作伙伴等外部资源的使用以及与项目关系的情况。</w:t>
            </w:r>
          </w:p>
        </w:tc>
        <w:tc>
          <w:tcPr>
            <w:tcW w:w="329" w:type="pct"/>
            <w:vAlign w:val="center"/>
          </w:tcPr>
          <w:p w14:paraId="58B17FC8">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14:paraId="6383FA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03B28AC9">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发展维度</w:t>
            </w:r>
          </w:p>
        </w:tc>
        <w:tc>
          <w:tcPr>
            <w:tcW w:w="4188" w:type="pct"/>
            <w:vAlign w:val="center"/>
          </w:tcPr>
          <w:p w14:paraId="2FA06C97">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1.项目通过吸纳捐赠、获取政府资助、自营收等方式确保持续生存能力情况。</w:t>
            </w:r>
          </w:p>
          <w:p w14:paraId="3872A982">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2.团队基于一定的产品、服务、模式，通过高效管理、资源整合、活动策划等运营手段，确保项目影响力与实效性。</w:t>
            </w:r>
          </w:p>
          <w:p w14:paraId="21DDB319">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3.项目在促进就业、教育、医疗、养老、环境保护与生态建设等方面的效果。</w:t>
            </w:r>
          </w:p>
          <w:p w14:paraId="512C9BE0">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4.项目的模式可复制、可推广、具有示范效应。</w:t>
            </w:r>
          </w:p>
          <w:p w14:paraId="002FD1BB">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5.项目对带动大学生到农村、城乡社区从事社会服务就业创业的情况。</w:t>
            </w:r>
          </w:p>
        </w:tc>
        <w:tc>
          <w:tcPr>
            <w:tcW w:w="329" w:type="pct"/>
            <w:vAlign w:val="center"/>
          </w:tcPr>
          <w:p w14:paraId="458D946D">
            <w:pPr>
              <w:jc w:val="center"/>
              <w:rPr>
                <w:rFonts w:ascii="仿宋_GB2312" w:hAnsi="仿宋_GB2312" w:eastAsia="仿宋_GB2312" w:cs="仿宋_GB2312"/>
                <w:bCs/>
                <w:sz w:val="24"/>
                <w:szCs w:val="24"/>
              </w:rPr>
            </w:pPr>
            <w:r>
              <w:rPr>
                <w:rFonts w:ascii="仿宋_GB2312" w:hAnsi="仿宋_GB2312" w:eastAsia="仿宋_GB2312" w:cs="仿宋_GB2312"/>
                <w:sz w:val="24"/>
                <w:szCs w:val="24"/>
              </w:rPr>
              <w:t>20</w:t>
            </w:r>
          </w:p>
        </w:tc>
      </w:tr>
      <w:tr w14:paraId="26FD44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3" w:type="pct"/>
            <w:vAlign w:val="center"/>
          </w:tcPr>
          <w:p w14:paraId="436803B9">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公益维度</w:t>
            </w:r>
          </w:p>
        </w:tc>
        <w:tc>
          <w:tcPr>
            <w:tcW w:w="4188" w:type="pct"/>
            <w:vAlign w:val="center"/>
          </w:tcPr>
          <w:p w14:paraId="7684F828">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1.项目以社会价值为导向，以谋求公共利益为目的，以解决社会问题为使命，不以营利为目标，有一定公益成果。</w:t>
            </w:r>
          </w:p>
          <w:p w14:paraId="0863BA3C">
            <w:pPr>
              <w:jc w:val="left"/>
              <w:rPr>
                <w:rFonts w:hint="eastAsia" w:ascii="仿宋_GB2312" w:hAnsi="仿宋_GB2312" w:eastAsia="仿宋_GB2312" w:cs="仿宋_GB2312"/>
                <w:sz w:val="24"/>
                <w:szCs w:val="24"/>
              </w:rPr>
            </w:pPr>
            <w:r>
              <w:rPr>
                <w:rFonts w:ascii="仿宋_GB2312" w:hAnsi="仿宋_GB2312" w:eastAsia="仿宋_GB2312" w:cs="仿宋_GB2312"/>
                <w:sz w:val="24"/>
                <w:szCs w:val="24"/>
              </w:rPr>
              <w:t>2.在公益服务领域具有较好的创意、产品或服务模式的创业计划和实践，追求社会效益</w:t>
            </w:r>
            <w:r>
              <w:rPr>
                <w:rFonts w:hint="eastAsia" w:ascii="仿宋_GB2312" w:hAnsi="仿宋_GB2312" w:eastAsia="仿宋_GB2312" w:cs="仿宋_GB2312"/>
                <w:sz w:val="24"/>
                <w:szCs w:val="24"/>
              </w:rPr>
              <w:t>的</w:t>
            </w:r>
            <w:r>
              <w:rPr>
                <w:rFonts w:ascii="仿宋_GB2312" w:hAnsi="仿宋_GB2312" w:eastAsia="仿宋_GB2312" w:cs="仿宋_GB2312"/>
                <w:sz w:val="24"/>
                <w:szCs w:val="24"/>
              </w:rPr>
              <w:t>最大化。</w:t>
            </w:r>
          </w:p>
        </w:tc>
        <w:tc>
          <w:tcPr>
            <w:tcW w:w="329" w:type="pct"/>
            <w:vAlign w:val="center"/>
          </w:tcPr>
          <w:p w14:paraId="74EC4418">
            <w:pPr>
              <w:jc w:val="center"/>
              <w:rPr>
                <w:rFonts w:hint="eastAsia" w:ascii="仿宋_GB2312" w:hAnsi="仿宋_GB2312" w:eastAsia="仿宋_GB2312" w:cs="仿宋_GB2312"/>
                <w:bCs/>
                <w:sz w:val="24"/>
                <w:szCs w:val="24"/>
              </w:rPr>
            </w:pPr>
            <w:r>
              <w:rPr>
                <w:rFonts w:hint="eastAsia" w:ascii="仿宋_GB2312" w:hAnsi="仿宋_GB2312" w:eastAsia="仿宋_GB2312" w:cs="仿宋_GB2312"/>
                <w:bCs/>
                <w:sz w:val="24"/>
                <w:szCs w:val="24"/>
              </w:rPr>
              <w:t>1</w:t>
            </w:r>
            <w:r>
              <w:rPr>
                <w:rFonts w:ascii="仿宋_GB2312" w:hAnsi="仿宋_GB2312" w:eastAsia="仿宋_GB2312" w:cs="仿宋_GB2312"/>
                <w:bCs/>
                <w:sz w:val="24"/>
                <w:szCs w:val="24"/>
              </w:rPr>
              <w:t>0</w:t>
            </w:r>
          </w:p>
        </w:tc>
      </w:tr>
      <w:tr w14:paraId="6B3FE6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3" w:type="pct"/>
            <w:vAlign w:val="center"/>
          </w:tcPr>
          <w:p w14:paraId="0116E437">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必要条件</w:t>
            </w:r>
          </w:p>
        </w:tc>
        <w:tc>
          <w:tcPr>
            <w:tcW w:w="4517" w:type="pct"/>
            <w:gridSpan w:val="2"/>
            <w:vAlign w:val="center"/>
          </w:tcPr>
          <w:p w14:paraId="663DC874">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参加由学校、省市或全国组织的“青年红色筑梦之旅”活动。</w:t>
            </w:r>
          </w:p>
        </w:tc>
      </w:tr>
    </w:tbl>
    <w:p w14:paraId="5A2D05C5">
      <w:pPr>
        <w:widowControl/>
        <w:jc w:val="left"/>
        <w:rPr>
          <w:rFonts w:ascii="黑体" w:hAnsi="黑体" w:eastAsia="黑体" w:cs="仿宋_GB2312"/>
          <w:bCs/>
          <w:sz w:val="32"/>
          <w:szCs w:val="32"/>
        </w:rPr>
        <w:sectPr>
          <w:pgSz w:w="16838" w:h="11906" w:orient="landscape"/>
          <w:pgMar w:top="1021" w:right="1134" w:bottom="1021" w:left="1134" w:header="851" w:footer="851" w:gutter="0"/>
          <w:cols w:space="425" w:num="1"/>
          <w:docGrid w:type="linesAndChars" w:linePitch="435" w:charSpace="0"/>
        </w:sectPr>
      </w:pPr>
    </w:p>
    <w:p w14:paraId="58B8D35C">
      <w:pPr>
        <w:jc w:val="left"/>
        <w:rPr>
          <w:rFonts w:ascii="黑体" w:hAnsi="黑体" w:eastAsia="黑体" w:cs="仿宋_GB2312"/>
          <w:bCs/>
          <w:sz w:val="32"/>
          <w:szCs w:val="32"/>
        </w:rPr>
      </w:pPr>
      <w:r>
        <w:rPr>
          <w:rFonts w:hint="eastAsia" w:ascii="黑体" w:hAnsi="黑体" w:eastAsia="黑体" w:cs="仿宋_GB2312"/>
          <w:bCs/>
          <w:sz w:val="32"/>
          <w:szCs w:val="32"/>
        </w:rPr>
        <w:t>四、“青年红色筑梦之旅”赛道项目评审要点：创意组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12382"/>
        <w:gridCol w:w="973"/>
      </w:tblGrid>
      <w:tr w14:paraId="51432B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4" w:type="pct"/>
            <w:vAlign w:val="center"/>
          </w:tcPr>
          <w:p w14:paraId="459145FD">
            <w:pPr>
              <w:jc w:val="center"/>
              <w:rPr>
                <w:rFonts w:ascii="黑体" w:hAnsi="黑体" w:eastAsia="黑体" w:cs="仿宋_GB2312"/>
                <w:sz w:val="24"/>
                <w:szCs w:val="24"/>
              </w:rPr>
            </w:pPr>
            <w:r>
              <w:rPr>
                <w:rFonts w:hint="eastAsia" w:ascii="黑体" w:hAnsi="黑体" w:eastAsia="黑体" w:cs="仿宋_GB2312"/>
                <w:sz w:val="24"/>
                <w:szCs w:val="24"/>
              </w:rPr>
              <w:t>评审要点</w:t>
            </w:r>
          </w:p>
        </w:tc>
        <w:tc>
          <w:tcPr>
            <w:tcW w:w="4187" w:type="pct"/>
            <w:vAlign w:val="center"/>
          </w:tcPr>
          <w:p w14:paraId="7136E561">
            <w:pPr>
              <w:jc w:val="center"/>
              <w:rPr>
                <w:rFonts w:ascii="黑体" w:hAnsi="黑体" w:eastAsia="黑体" w:cs="仿宋_GB2312"/>
                <w:sz w:val="24"/>
                <w:szCs w:val="24"/>
              </w:rPr>
            </w:pPr>
            <w:r>
              <w:rPr>
                <w:rFonts w:hint="eastAsia" w:ascii="黑体" w:hAnsi="黑体" w:eastAsia="黑体" w:cs="仿宋_GB2312"/>
                <w:sz w:val="24"/>
                <w:szCs w:val="24"/>
              </w:rPr>
              <w:t>评审内容</w:t>
            </w:r>
          </w:p>
        </w:tc>
        <w:tc>
          <w:tcPr>
            <w:tcW w:w="329" w:type="pct"/>
            <w:vAlign w:val="center"/>
          </w:tcPr>
          <w:p w14:paraId="620ABEB6">
            <w:pPr>
              <w:jc w:val="center"/>
              <w:rPr>
                <w:rFonts w:ascii="黑体" w:hAnsi="黑体" w:eastAsia="黑体" w:cs="仿宋_GB2312"/>
                <w:sz w:val="24"/>
                <w:szCs w:val="24"/>
              </w:rPr>
            </w:pPr>
            <w:r>
              <w:rPr>
                <w:rFonts w:hint="eastAsia" w:ascii="黑体" w:hAnsi="黑体" w:eastAsia="黑体" w:cs="仿宋_GB2312"/>
                <w:sz w:val="24"/>
                <w:szCs w:val="24"/>
              </w:rPr>
              <w:t>分值</w:t>
            </w:r>
          </w:p>
        </w:tc>
      </w:tr>
      <w:tr w14:paraId="111187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14:paraId="18E2F05E">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教育维度</w:t>
            </w:r>
          </w:p>
        </w:tc>
        <w:tc>
          <w:tcPr>
            <w:tcW w:w="4187" w:type="pct"/>
            <w:vAlign w:val="center"/>
          </w:tcPr>
          <w:p w14:paraId="552C035D">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项目应弘扬正确的价值观，厚植家国情怀，恪守伦理规范，有助于培育创新精神。</w:t>
            </w:r>
          </w:p>
          <w:p w14:paraId="1489EFFD">
            <w:pPr>
              <w:jc w:val="lef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项目体现团队扎根中国大地了解国情民情，遵循发现问题、分析问题、解决问题的基本规律，将所学专业知识、技能和方法应用于科技创新、乡村振兴、城市社区治理、城乡融合发展，展现创新教育对大学生基本素养和认知的塑造力和提升大学生综合能力的效力。</w:t>
            </w:r>
          </w:p>
          <w:p w14:paraId="0AC8714A">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.项目充分体现团队解决复杂问题的综合能力和高级思维，体现项目成长对团队成员创新创业精神、意识、能力的锻炼和提升作用。</w:t>
            </w:r>
          </w:p>
          <w:p w14:paraId="46AED616">
            <w:pPr>
              <w:jc w:val="left"/>
              <w:rPr>
                <w:rFonts w:ascii="仿宋_GB2312" w:hAnsi="仿宋_GB2312" w:eastAsia="仿宋_GB2312" w:cs="仿宋_GB2312"/>
                <w:bCs/>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项目能充分体现院校在“三位一体”统筹推进教育、科技、人才工作，扎实推进新工科、新医科、新农科、新文科建设方面取得的成果；项目充分体现专业教育、思政教育、创新教育的有机融合；体现院校在项目的培育、孵化等方面的支持情况。</w:t>
            </w:r>
          </w:p>
        </w:tc>
        <w:tc>
          <w:tcPr>
            <w:tcW w:w="329" w:type="pct"/>
            <w:vAlign w:val="center"/>
          </w:tcPr>
          <w:p w14:paraId="3C57D84B">
            <w:pPr>
              <w:jc w:val="center"/>
              <w:rPr>
                <w:rFonts w:ascii="仿宋_GB2312" w:hAnsi="仿宋_GB2312" w:eastAsia="仿宋_GB2312" w:cs="仿宋_GB2312"/>
                <w:szCs w:val="21"/>
              </w:rPr>
            </w:pPr>
            <w:r>
              <w:rPr>
                <w:rFonts w:ascii="仿宋_GB2312" w:hAnsi="仿宋_GB2312" w:eastAsia="仿宋_GB2312" w:cs="仿宋_GB2312"/>
                <w:szCs w:val="21"/>
              </w:rPr>
              <w:t>30</w:t>
            </w:r>
          </w:p>
        </w:tc>
      </w:tr>
      <w:tr w14:paraId="4CDD04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3" w:hRule="atLeast"/>
        </w:trPr>
        <w:tc>
          <w:tcPr>
            <w:tcW w:w="484" w:type="pct"/>
            <w:vAlign w:val="center"/>
          </w:tcPr>
          <w:p w14:paraId="75551A84">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87" w:type="pct"/>
            <w:vAlign w:val="center"/>
          </w:tcPr>
          <w:p w14:paraId="2D0A6079">
            <w:pPr>
              <w:tabs>
                <w:tab w:val="left" w:pos="312"/>
              </w:tabs>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1.团队能够基于科学严谨的创新过程，遵循创新规律，运用各类创新的理念和范式，解决科技创新、乡村振兴、城市社区治理、城乡融合发展中遇到的各类问题。</w:t>
            </w:r>
          </w:p>
          <w:p w14:paraId="0223CCE4">
            <w:pPr>
              <w:tabs>
                <w:tab w:val="left" w:pos="312"/>
              </w:tabs>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2.项目能够从产品创新、服务创新等方面着手开展创新创业实践，并产生一定数量和质量的创新成果。</w:t>
            </w:r>
          </w:p>
          <w:p w14:paraId="3277EC85">
            <w:pPr>
              <w:tabs>
                <w:tab w:val="left" w:pos="312"/>
              </w:tabs>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3.鼓励院校科研成果和文创成果在乡村或社区进行产业转化落地与实践应用。</w:t>
            </w:r>
          </w:p>
          <w:p w14:paraId="5CE73043">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4.鼓励组织模式或商业模式创新，鼓励资源整合优化创新。</w:t>
            </w:r>
          </w:p>
        </w:tc>
        <w:tc>
          <w:tcPr>
            <w:tcW w:w="329" w:type="pct"/>
            <w:vAlign w:val="center"/>
          </w:tcPr>
          <w:p w14:paraId="2C33735A">
            <w:pPr>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14:paraId="6503D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6899FCF3">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7" w:type="pct"/>
            <w:vAlign w:val="center"/>
          </w:tcPr>
          <w:p w14:paraId="7689D788">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1.团队的组成原则与过程是否科学合理；团队是否具有支撑项目成长的知识、技术和经验；是否有明确的使命愿景。</w:t>
            </w:r>
          </w:p>
          <w:p w14:paraId="211E73C5">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2.团队的组织构架、人员配置、分工协作、能力结构、专业结构、合作机制、激励制度等的合理性情况。</w:t>
            </w:r>
          </w:p>
          <w:p w14:paraId="284C0DAE">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3.团队与项目关系的真实性、紧密性情况；对项目的各项投入情况；创立创业企业的可能性情况。</w:t>
            </w:r>
          </w:p>
          <w:p w14:paraId="08B5A022">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4.支撑项目发展的合作伙伴等外部资源的使用以及与项目关系的情况。</w:t>
            </w:r>
          </w:p>
        </w:tc>
        <w:tc>
          <w:tcPr>
            <w:tcW w:w="329" w:type="pct"/>
            <w:vAlign w:val="center"/>
          </w:tcPr>
          <w:p w14:paraId="3ACCFC9D">
            <w:pPr>
              <w:jc w:val="center"/>
              <w:rPr>
                <w:rFonts w:ascii="仿宋_GB2312" w:hAnsi="仿宋_GB2312" w:eastAsia="仿宋_GB2312" w:cs="仿宋_GB2312"/>
                <w:szCs w:val="21"/>
              </w:rPr>
            </w:pPr>
            <w:r>
              <w:rPr>
                <w:rFonts w:hint="eastAsia" w:ascii="仿宋_GB2312" w:hAnsi="仿宋_GB2312" w:eastAsia="仿宋_GB2312" w:cs="仿宋_GB2312"/>
                <w:szCs w:val="21"/>
              </w:rPr>
              <w:t>20</w:t>
            </w:r>
          </w:p>
        </w:tc>
      </w:tr>
      <w:tr w14:paraId="49E307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5F9DE1D5">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发展维度</w:t>
            </w:r>
          </w:p>
        </w:tc>
        <w:tc>
          <w:tcPr>
            <w:tcW w:w="4187" w:type="pct"/>
            <w:vAlign w:val="center"/>
          </w:tcPr>
          <w:p w14:paraId="46EDA429">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1.充分了解科技创新、乡村振兴、城市社区治理、城乡融合发展的内容和要求，了解其中的痛点、难点，进而形成对所要解决问题完备的认知。</w:t>
            </w:r>
          </w:p>
          <w:p w14:paraId="25BF956F">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2.在服务科技创新、乡村振兴、城市社区治理、城乡融合发展等方面有较好的创意、产品或服务模式，追求经济效益和社会效益的平衡。</w:t>
            </w:r>
          </w:p>
          <w:p w14:paraId="41D48350">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3.项目对推动科技创新、乡村振兴、城市社区治理、城乡融合发展等方面的贡献度。</w:t>
            </w:r>
          </w:p>
          <w:p w14:paraId="10BE728D">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4.项目的持续生存能力，模式可复制、可推广、具有示范效应等。</w:t>
            </w:r>
          </w:p>
        </w:tc>
        <w:tc>
          <w:tcPr>
            <w:tcW w:w="329" w:type="pct"/>
            <w:vAlign w:val="center"/>
          </w:tcPr>
          <w:p w14:paraId="753D4092">
            <w:pPr>
              <w:jc w:val="center"/>
              <w:rPr>
                <w:rFonts w:ascii="仿宋_GB2312" w:hAnsi="仿宋_GB2312" w:eastAsia="仿宋_GB2312" w:cs="仿宋_GB2312"/>
                <w:szCs w:val="21"/>
              </w:rPr>
            </w:pPr>
            <w:r>
              <w:rPr>
                <w:rFonts w:ascii="仿宋_GB2312" w:hAnsi="仿宋_GB2312" w:eastAsia="仿宋_GB2312" w:cs="仿宋_GB2312"/>
                <w:szCs w:val="21"/>
              </w:rPr>
              <w:t>20</w:t>
            </w:r>
          </w:p>
        </w:tc>
      </w:tr>
      <w:tr w14:paraId="19D86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14:paraId="28B7DEF7">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社会价值维度</w:t>
            </w:r>
          </w:p>
        </w:tc>
        <w:tc>
          <w:tcPr>
            <w:tcW w:w="4187" w:type="pct"/>
            <w:vAlign w:val="center"/>
          </w:tcPr>
          <w:p w14:paraId="30F16214">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1.项目直接提供就业岗位的数量和质量。</w:t>
            </w:r>
          </w:p>
          <w:p w14:paraId="374C6385">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2.项目间接带动就业的能力和规模。</w:t>
            </w:r>
          </w:p>
          <w:p w14:paraId="0892BF62">
            <w:pPr>
              <w:pStyle w:val="22"/>
              <w:ind w:firstLine="0" w:firstLineChars="0"/>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3.项目对社会文明、生态文明、民生福祉等方面的积极推动作用。</w:t>
            </w:r>
          </w:p>
        </w:tc>
        <w:tc>
          <w:tcPr>
            <w:tcW w:w="329" w:type="pct"/>
            <w:vAlign w:val="center"/>
          </w:tcPr>
          <w:p w14:paraId="00C4D2D2">
            <w:pPr>
              <w:widowControl/>
              <w:jc w:val="center"/>
              <w:rPr>
                <w:rFonts w:ascii="仿宋_GB2312" w:hAnsi="仿宋_GB2312" w:eastAsia="仿宋_GB2312" w:cs="仿宋_GB2312"/>
                <w:szCs w:val="21"/>
              </w:rPr>
            </w:pPr>
            <w:r>
              <w:rPr>
                <w:rFonts w:hint="eastAsia" w:ascii="仿宋_GB2312" w:hAnsi="仿宋_GB2312" w:eastAsia="仿宋_GB2312" w:cs="仿宋_GB2312"/>
                <w:szCs w:val="21"/>
              </w:rPr>
              <w:t>10</w:t>
            </w:r>
          </w:p>
        </w:tc>
      </w:tr>
      <w:tr w14:paraId="01B451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1E3F27FE">
            <w:pPr>
              <w:jc w:val="center"/>
              <w:rPr>
                <w:rFonts w:ascii="仿宋_GB2312" w:hAnsi="仿宋_GB2312" w:eastAsia="仿宋_GB2312" w:cs="仿宋_GB2312"/>
                <w:szCs w:val="21"/>
              </w:rPr>
            </w:pPr>
            <w:r>
              <w:rPr>
                <w:rFonts w:hint="eastAsia" w:ascii="仿宋_GB2312" w:hAnsi="仿宋_GB2312" w:eastAsia="仿宋_GB2312" w:cs="仿宋_GB2312"/>
                <w:sz w:val="24"/>
                <w:szCs w:val="24"/>
              </w:rPr>
              <w:t>必要条件</w:t>
            </w:r>
          </w:p>
        </w:tc>
        <w:tc>
          <w:tcPr>
            <w:tcW w:w="4516" w:type="pct"/>
            <w:gridSpan w:val="2"/>
            <w:vAlign w:val="center"/>
          </w:tcPr>
          <w:p w14:paraId="77EE07F6">
            <w:pPr>
              <w:widowControl/>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参加由学校、省市或全国组织的“青年红色筑梦之旅”活动。</w:t>
            </w:r>
          </w:p>
        </w:tc>
      </w:tr>
    </w:tbl>
    <w:p w14:paraId="7DB6F1F1">
      <w:pPr>
        <w:jc w:val="left"/>
        <w:rPr>
          <w:rFonts w:ascii="黑体" w:hAnsi="黑体" w:eastAsia="黑体" w:cs="仿宋_GB2312"/>
          <w:bCs/>
          <w:sz w:val="32"/>
          <w:szCs w:val="32"/>
        </w:rPr>
      </w:pPr>
    </w:p>
    <w:p w14:paraId="399D04C0">
      <w:pPr>
        <w:jc w:val="left"/>
        <w:rPr>
          <w:rFonts w:ascii="黑体" w:hAnsi="黑体" w:eastAsia="黑体" w:cs="仿宋_GB2312"/>
          <w:bCs/>
          <w:sz w:val="32"/>
          <w:szCs w:val="32"/>
        </w:rPr>
        <w:sectPr>
          <w:pgSz w:w="16838" w:h="11906" w:orient="landscape"/>
          <w:pgMar w:top="1021" w:right="1134" w:bottom="1021" w:left="1134" w:header="851" w:footer="851" w:gutter="0"/>
          <w:cols w:space="425" w:num="1"/>
          <w:docGrid w:type="linesAndChars" w:linePitch="435" w:charSpace="0"/>
        </w:sectPr>
      </w:pPr>
    </w:p>
    <w:p w14:paraId="58784707">
      <w:pPr>
        <w:jc w:val="left"/>
        <w:rPr>
          <w:rFonts w:cs="仿宋" w:asciiTheme="minorEastAsia" w:hAnsiTheme="minorEastAsia" w:eastAsiaTheme="minorEastAsia"/>
          <w:sz w:val="24"/>
          <w:szCs w:val="24"/>
        </w:rPr>
      </w:pPr>
      <w:r>
        <w:rPr>
          <w:rFonts w:hint="eastAsia" w:ascii="黑体" w:hAnsi="黑体" w:eastAsia="黑体" w:cs="仿宋_GB2312"/>
          <w:bCs/>
          <w:sz w:val="32"/>
          <w:szCs w:val="32"/>
        </w:rPr>
        <w:t>五、“青年红色筑梦之旅”赛道项目评审要点：创业组</w:t>
      </w:r>
    </w:p>
    <w:tbl>
      <w:tblPr>
        <w:tblStyle w:val="1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31"/>
        <w:gridCol w:w="12382"/>
        <w:gridCol w:w="973"/>
      </w:tblGrid>
      <w:tr w14:paraId="186A88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blHeader/>
        </w:trPr>
        <w:tc>
          <w:tcPr>
            <w:tcW w:w="484" w:type="pct"/>
            <w:vAlign w:val="center"/>
          </w:tcPr>
          <w:p w14:paraId="1949BF52">
            <w:pPr>
              <w:jc w:val="center"/>
              <w:rPr>
                <w:rFonts w:ascii="黑体" w:hAnsi="黑体" w:eastAsia="黑体" w:cs="仿宋_GB2312"/>
                <w:sz w:val="24"/>
                <w:szCs w:val="24"/>
              </w:rPr>
            </w:pPr>
            <w:r>
              <w:rPr>
                <w:rFonts w:hint="eastAsia" w:ascii="黑体" w:hAnsi="黑体" w:eastAsia="黑体" w:cs="仿宋_GB2312"/>
                <w:sz w:val="24"/>
                <w:szCs w:val="24"/>
              </w:rPr>
              <w:t>评审要点</w:t>
            </w:r>
          </w:p>
        </w:tc>
        <w:tc>
          <w:tcPr>
            <w:tcW w:w="4187" w:type="pct"/>
            <w:vAlign w:val="center"/>
          </w:tcPr>
          <w:p w14:paraId="3D3D7638">
            <w:pPr>
              <w:jc w:val="center"/>
              <w:rPr>
                <w:rFonts w:ascii="黑体" w:hAnsi="黑体" w:eastAsia="黑体" w:cs="仿宋_GB2312"/>
                <w:sz w:val="24"/>
                <w:szCs w:val="24"/>
              </w:rPr>
            </w:pPr>
            <w:r>
              <w:rPr>
                <w:rFonts w:hint="eastAsia" w:ascii="黑体" w:hAnsi="黑体" w:eastAsia="黑体" w:cs="仿宋_GB2312"/>
                <w:sz w:val="24"/>
                <w:szCs w:val="24"/>
              </w:rPr>
              <w:t>评审内容</w:t>
            </w:r>
          </w:p>
        </w:tc>
        <w:tc>
          <w:tcPr>
            <w:tcW w:w="329" w:type="pct"/>
            <w:vAlign w:val="center"/>
          </w:tcPr>
          <w:p w14:paraId="79ED1C7B">
            <w:pPr>
              <w:jc w:val="center"/>
              <w:rPr>
                <w:rFonts w:ascii="黑体" w:hAnsi="黑体" w:eastAsia="黑体" w:cs="仿宋_GB2312"/>
                <w:sz w:val="24"/>
                <w:szCs w:val="24"/>
              </w:rPr>
            </w:pPr>
            <w:r>
              <w:rPr>
                <w:rFonts w:hint="eastAsia" w:ascii="黑体" w:hAnsi="黑体" w:eastAsia="黑体" w:cs="仿宋_GB2312"/>
                <w:sz w:val="24"/>
                <w:szCs w:val="24"/>
              </w:rPr>
              <w:t>分值</w:t>
            </w:r>
          </w:p>
        </w:tc>
      </w:tr>
      <w:tr w14:paraId="04318D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14:paraId="49F9087D">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教育维度</w:t>
            </w:r>
          </w:p>
        </w:tc>
        <w:tc>
          <w:tcPr>
            <w:tcW w:w="4187" w:type="pct"/>
            <w:vAlign w:val="center"/>
          </w:tcPr>
          <w:p w14:paraId="71C78111">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w:t>
            </w:r>
            <w:r>
              <w:rPr>
                <w:rFonts w:ascii="仿宋_GB2312" w:hAnsi="仿宋_GB2312" w:eastAsia="仿宋_GB2312" w:cs="仿宋_GB2312"/>
                <w:sz w:val="24"/>
                <w:szCs w:val="24"/>
              </w:rPr>
              <w:t>.</w:t>
            </w:r>
            <w:r>
              <w:rPr>
                <w:rFonts w:hint="eastAsia" w:ascii="仿宋_GB2312" w:hAnsi="仿宋_GB2312" w:eastAsia="仿宋_GB2312" w:cs="仿宋_GB2312"/>
                <w:sz w:val="24"/>
                <w:szCs w:val="24"/>
              </w:rPr>
              <w:t>项目应弘扬正确的价值观，厚植家国情怀，恪守伦理规范，有助于培育创新精神。</w:t>
            </w:r>
          </w:p>
          <w:p w14:paraId="0DAF6B54">
            <w:pPr>
              <w:jc w:val="left"/>
              <w:rPr>
                <w:rFonts w:ascii="仿宋_GB2312" w:hAnsi="仿宋_GB2312" w:eastAsia="仿宋_GB2312" w:cs="仿宋_GB2312"/>
                <w:sz w:val="24"/>
                <w:szCs w:val="24"/>
              </w:rPr>
            </w:pPr>
            <w:r>
              <w:rPr>
                <w:rFonts w:ascii="仿宋_GB2312" w:hAnsi="仿宋_GB2312" w:eastAsia="仿宋_GB2312" w:cs="仿宋_GB2312"/>
                <w:sz w:val="24"/>
                <w:szCs w:val="24"/>
              </w:rPr>
              <w:t>2</w:t>
            </w:r>
            <w:r>
              <w:rPr>
                <w:rFonts w:hint="eastAsia" w:ascii="仿宋_GB2312" w:hAnsi="仿宋_GB2312" w:eastAsia="仿宋_GB2312" w:cs="仿宋_GB2312"/>
                <w:sz w:val="24"/>
                <w:szCs w:val="24"/>
              </w:rPr>
              <w:t>.项目体现团队扎根中国大地了解国情民情，遵循发现问题、分析问题、解决问题的基本规律，将所学专业知识、技能和方法应用于科技创新、乡村振兴、城市社区治理、城乡融合发展，展现创新教育对大学生基本素养和认知的塑造力和提升大学生综合能力的效力。</w:t>
            </w:r>
          </w:p>
          <w:p w14:paraId="1DB53CA0">
            <w:pPr>
              <w:jc w:val="left"/>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.项目充分体现团队解决复杂问题的综合能力和高级思维，体现项目成长对团队成员创新创业精神、意识、能力的锻炼和提升作用。</w:t>
            </w:r>
          </w:p>
          <w:p w14:paraId="4CE38810">
            <w:pPr>
              <w:jc w:val="left"/>
              <w:rPr>
                <w:rFonts w:ascii="仿宋_GB2312" w:hAnsi="仿宋_GB2312" w:eastAsia="仿宋_GB2312" w:cs="仿宋_GB2312"/>
                <w:sz w:val="24"/>
                <w:szCs w:val="24"/>
              </w:rPr>
            </w:pPr>
            <w:r>
              <w:rPr>
                <w:rFonts w:ascii="仿宋_GB2312" w:hAnsi="仿宋_GB2312" w:eastAsia="仿宋_GB2312" w:cs="仿宋_GB2312"/>
                <w:sz w:val="24"/>
                <w:szCs w:val="24"/>
              </w:rPr>
              <w:t>4</w:t>
            </w:r>
            <w:r>
              <w:rPr>
                <w:rFonts w:hint="eastAsia" w:ascii="仿宋_GB2312" w:hAnsi="仿宋_GB2312" w:eastAsia="仿宋_GB2312" w:cs="仿宋_GB2312"/>
                <w:sz w:val="24"/>
                <w:szCs w:val="24"/>
              </w:rPr>
              <w:t>.项目能充分体现院校在“三位一体”统筹推进教育、科技、人才工作，扎实推进新工科、新医科、新农科、新文科建设方面取得的成果；项目充分体现专业教育、思政教育、创新教育的有机融合；体现院校在项目的培育、孵化等方面的支持情况。</w:t>
            </w:r>
          </w:p>
        </w:tc>
        <w:tc>
          <w:tcPr>
            <w:tcW w:w="329" w:type="pct"/>
            <w:vAlign w:val="center"/>
          </w:tcPr>
          <w:p w14:paraId="4FE7A1A8">
            <w:pPr>
              <w:jc w:val="center"/>
              <w:rPr>
                <w:rFonts w:ascii="仿宋_GB2312" w:hAnsi="仿宋_GB2312" w:eastAsia="仿宋_GB2312" w:cs="仿宋_GB2312"/>
                <w:b/>
                <w:sz w:val="24"/>
                <w:szCs w:val="24"/>
              </w:rPr>
            </w:pPr>
            <w:r>
              <w:rPr>
                <w:rFonts w:ascii="仿宋_GB2312" w:hAnsi="仿宋_GB2312" w:eastAsia="仿宋_GB2312" w:cs="仿宋_GB2312"/>
                <w:sz w:val="24"/>
                <w:szCs w:val="24"/>
              </w:rPr>
              <w:t>20</w:t>
            </w:r>
          </w:p>
        </w:tc>
      </w:tr>
      <w:tr w14:paraId="313BD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4" w:type="pct"/>
            <w:vAlign w:val="center"/>
          </w:tcPr>
          <w:p w14:paraId="6519FF00">
            <w:pPr>
              <w:jc w:val="center"/>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创新维度</w:t>
            </w:r>
          </w:p>
        </w:tc>
        <w:tc>
          <w:tcPr>
            <w:tcW w:w="4187" w:type="pct"/>
            <w:vAlign w:val="center"/>
          </w:tcPr>
          <w:p w14:paraId="51C0529D">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1.团队能够基于科学严谨的创新过程，遵循创新规律，运用各类创新的理念和范式，解决科技创新、乡村振兴、城市社区治理、城乡融合发展中遇到的各类问题。</w:t>
            </w:r>
          </w:p>
          <w:p w14:paraId="5A2E3E81">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2.项目能够从产品创新、服务创新、组织创新等方面着手开展创新创业实践，并产生一定数量和质量的创新成果，获得相应的市场回报。</w:t>
            </w:r>
          </w:p>
          <w:p w14:paraId="31589F88">
            <w:pPr>
              <w:jc w:val="left"/>
              <w:rPr>
                <w:rFonts w:hint="eastAsia" w:ascii="仿宋_GB2312" w:hAnsi="仿宋_GB2312" w:eastAsia="仿宋_GB2312" w:cs="仿宋_GB2312"/>
                <w:sz w:val="24"/>
                <w:szCs w:val="24"/>
              </w:rPr>
            </w:pPr>
            <w:r>
              <w:rPr>
                <w:rFonts w:hint="eastAsia" w:ascii="仿宋_GB2312" w:hAnsi="仿宋_GB2312" w:eastAsia="仿宋_GB2312" w:cs="仿宋_GB2312"/>
                <w:sz w:val="24"/>
                <w:szCs w:val="24"/>
              </w:rPr>
              <w:t>3.鼓励院校科研成果和文创成果在乡村或社区进行产业转化落地与实践应用。</w:t>
            </w:r>
          </w:p>
        </w:tc>
        <w:tc>
          <w:tcPr>
            <w:tcW w:w="329" w:type="pct"/>
            <w:vAlign w:val="center"/>
          </w:tcPr>
          <w:p w14:paraId="2FECF9E7">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14:paraId="65C4206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7C1562BD">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团队维度</w:t>
            </w:r>
          </w:p>
        </w:tc>
        <w:tc>
          <w:tcPr>
            <w:tcW w:w="4187" w:type="pct"/>
            <w:vAlign w:val="center"/>
          </w:tcPr>
          <w:p w14:paraId="5B79E9A4">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1.团队的组成原则与过程是否科学合理，团队成员的教育和工作背景、创新能力、价值观念、分工协作和能力互补情况，是否有明确的使命愿景；</w:t>
            </w:r>
          </w:p>
          <w:p w14:paraId="6F051184">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2.公司是否具有合理的组织构架、清晰的指挥链、科学的决策机制；是否有合理的岗位设置、分工协作、专业能力结构；是否有良好的内部沟通机制；是否有合理的股权结构、激励制度。</w:t>
            </w:r>
          </w:p>
          <w:p w14:paraId="307DE619">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3.团队对项目的各项投入情况及团队成员的稳定性情况。</w:t>
            </w:r>
          </w:p>
          <w:p w14:paraId="68F10B58">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4.支撑公司发展的合作伙伴等外部资源的使用以及与公司关系的情况。</w:t>
            </w:r>
          </w:p>
        </w:tc>
        <w:tc>
          <w:tcPr>
            <w:tcW w:w="329" w:type="pct"/>
            <w:vAlign w:val="center"/>
          </w:tcPr>
          <w:p w14:paraId="024D2D01">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20</w:t>
            </w:r>
          </w:p>
        </w:tc>
      </w:tr>
      <w:tr w14:paraId="4ACDA3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301C1398">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发展维度</w:t>
            </w:r>
          </w:p>
        </w:tc>
        <w:tc>
          <w:tcPr>
            <w:tcW w:w="4187" w:type="pct"/>
            <w:vAlign w:val="center"/>
          </w:tcPr>
          <w:p w14:paraId="40288895">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1.充分了解科技创新、乡村振兴、城市社区治理、城乡融合发展的内容和要求，了解其中的痛点、难点，进而形成对所要解决问题完备的认知。</w:t>
            </w:r>
          </w:p>
          <w:p w14:paraId="6E0C9837">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2.在服务科技创新、乡村振兴、城市社区治理、城乡融合发展等方面有较好产品或服务模式，追求经济效益和社会效益的平衡。</w:t>
            </w:r>
          </w:p>
          <w:p w14:paraId="743858E2">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3.项目通过商业方式推动科技创新、乡村振兴、城市社区治理、城乡融合发展等方面的贡献度。</w:t>
            </w:r>
          </w:p>
          <w:p w14:paraId="30B6CD50">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4.项目的持续生存能力，模式可复制、可推广、具有示范效应等。</w:t>
            </w:r>
          </w:p>
        </w:tc>
        <w:tc>
          <w:tcPr>
            <w:tcW w:w="329" w:type="pct"/>
            <w:vAlign w:val="center"/>
          </w:tcPr>
          <w:p w14:paraId="6FEF4F99">
            <w:pPr>
              <w:jc w:val="center"/>
              <w:rPr>
                <w:rFonts w:ascii="仿宋_GB2312" w:hAnsi="仿宋_GB2312" w:eastAsia="仿宋_GB2312" w:cs="仿宋_GB2312"/>
                <w:sz w:val="24"/>
                <w:szCs w:val="24"/>
              </w:rPr>
            </w:pPr>
            <w:r>
              <w:rPr>
                <w:rFonts w:ascii="仿宋_GB2312" w:hAnsi="仿宋_GB2312" w:eastAsia="仿宋_GB2312" w:cs="仿宋_GB2312"/>
                <w:sz w:val="24"/>
                <w:szCs w:val="24"/>
              </w:rPr>
              <w:t>3</w:t>
            </w:r>
            <w:r>
              <w:rPr>
                <w:rFonts w:hint="eastAsia" w:ascii="仿宋_GB2312" w:hAnsi="仿宋_GB2312" w:eastAsia="仿宋_GB2312" w:cs="仿宋_GB2312"/>
                <w:sz w:val="24"/>
                <w:szCs w:val="24"/>
              </w:rPr>
              <w:t>0</w:t>
            </w:r>
          </w:p>
        </w:tc>
      </w:tr>
      <w:tr w14:paraId="13E685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0" w:hRule="atLeast"/>
        </w:trPr>
        <w:tc>
          <w:tcPr>
            <w:tcW w:w="484" w:type="pct"/>
            <w:vAlign w:val="center"/>
          </w:tcPr>
          <w:p w14:paraId="13FBD5D2">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社会价值维度</w:t>
            </w:r>
          </w:p>
        </w:tc>
        <w:tc>
          <w:tcPr>
            <w:tcW w:w="4187" w:type="pct"/>
            <w:vAlign w:val="center"/>
          </w:tcPr>
          <w:p w14:paraId="3F46A86A">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1.项目直接提供就业岗位的数量和质量。</w:t>
            </w:r>
          </w:p>
          <w:p w14:paraId="14B7BD28">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2.项目间接带动就业的能力和规模。</w:t>
            </w:r>
          </w:p>
          <w:p w14:paraId="67E0686B">
            <w:pPr>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3.项目对社会文明、生态文明、民生福祉等方面的积极推动作用。</w:t>
            </w:r>
          </w:p>
        </w:tc>
        <w:tc>
          <w:tcPr>
            <w:tcW w:w="329" w:type="pct"/>
            <w:vAlign w:val="center"/>
          </w:tcPr>
          <w:p w14:paraId="2712B640">
            <w:pPr>
              <w:widowControl/>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10</w:t>
            </w:r>
          </w:p>
        </w:tc>
      </w:tr>
      <w:tr w14:paraId="47C2761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 w:hRule="atLeast"/>
        </w:trPr>
        <w:tc>
          <w:tcPr>
            <w:tcW w:w="484" w:type="pct"/>
            <w:vAlign w:val="center"/>
          </w:tcPr>
          <w:p w14:paraId="0DAAA6F0">
            <w:pPr>
              <w:jc w:val="center"/>
              <w:rPr>
                <w:rFonts w:ascii="仿宋_GB2312" w:hAnsi="仿宋_GB2312" w:eastAsia="仿宋_GB2312" w:cs="仿宋_GB2312"/>
                <w:sz w:val="24"/>
                <w:szCs w:val="24"/>
              </w:rPr>
            </w:pPr>
            <w:r>
              <w:rPr>
                <w:rFonts w:hint="eastAsia" w:ascii="仿宋_GB2312" w:hAnsi="仿宋_GB2312" w:eastAsia="仿宋_GB2312" w:cs="仿宋_GB2312"/>
                <w:sz w:val="24"/>
                <w:szCs w:val="24"/>
              </w:rPr>
              <w:t>必要条件</w:t>
            </w:r>
          </w:p>
        </w:tc>
        <w:tc>
          <w:tcPr>
            <w:tcW w:w="4516" w:type="pct"/>
            <w:gridSpan w:val="2"/>
            <w:vAlign w:val="center"/>
          </w:tcPr>
          <w:p w14:paraId="66D30061">
            <w:pPr>
              <w:widowControl/>
              <w:jc w:val="left"/>
              <w:rPr>
                <w:rFonts w:ascii="仿宋_GB2312" w:hAnsi="仿宋_GB2312" w:eastAsia="仿宋_GB2312" w:cs="仿宋_GB2312"/>
                <w:sz w:val="24"/>
                <w:szCs w:val="24"/>
              </w:rPr>
            </w:pPr>
            <w:r>
              <w:rPr>
                <w:rFonts w:hint="eastAsia" w:ascii="仿宋_GB2312" w:hAnsi="仿宋_GB2312" w:eastAsia="仿宋_GB2312" w:cs="仿宋_GB2312"/>
                <w:sz w:val="24"/>
                <w:szCs w:val="24"/>
              </w:rPr>
              <w:t>参加由学校、省市或全国组织的“青年红色筑梦之旅”活动。</w:t>
            </w:r>
          </w:p>
        </w:tc>
      </w:tr>
    </w:tbl>
    <w:p w14:paraId="0A39E718"/>
    <w:p w14:paraId="729BE9D1">
      <w:pPr>
        <w:jc w:val="left"/>
        <w:rPr>
          <w:rFonts w:ascii="仿宋" w:hAnsi="仿宋" w:eastAsia="仿宋" w:cs="仿宋"/>
          <w:sz w:val="24"/>
          <w:szCs w:val="24"/>
        </w:rPr>
      </w:pPr>
      <w:bookmarkStart w:id="0" w:name="_GoBack"/>
      <w:bookmarkEnd w:id="0"/>
    </w:p>
    <w:sectPr>
      <w:pgSz w:w="16838" w:h="11906" w:orient="landscape"/>
      <w:pgMar w:top="1021" w:right="1134" w:bottom="1021" w:left="1134" w:header="851" w:footer="851" w:gutter="0"/>
      <w:cols w:space="425"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汉仪书宋二KW">
    <w:panose1 w:val="00020600040101010101"/>
    <w:charset w:val="86"/>
    <w:family w:val="auto"/>
    <w:pitch w:val="default"/>
    <w:sig w:usb0="A00002BF" w:usb1="18EF7CFA" w:usb2="00000016" w:usb3="00000000" w:csb0="00040000" w:csb1="00000000"/>
  </w:font>
  <w:font w:name="Wingdings">
    <w:altName w:val="Kingsoft Confetti"/>
    <w:panose1 w:val="05000000000000000000"/>
    <w:charset w:val="02"/>
    <w:family w:val="auto"/>
    <w:pitch w:val="default"/>
    <w:sig w:usb0="00000000" w:usb1="00000000" w:usb2="00000000" w:usb3="00000000" w:csb0="80000000" w:csb1="00000000"/>
  </w:font>
  <w:font w:name="Kingsoft Confetti">
    <w:panose1 w:val="05000100010000000000"/>
    <w:charset w:val="00"/>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altName w:val="汉仪中黑KW"/>
    <w:panose1 w:val="02010609060101010101"/>
    <w:charset w:val="86"/>
    <w:family w:val="auto"/>
    <w:pitch w:val="default"/>
    <w:sig w:usb0="800002BF" w:usb1="38CF7CFA" w:usb2="00000016" w:usb3="00000000" w:csb0="00040001" w:csb1="00000000"/>
  </w:font>
  <w:font w:name="汉仪中黑KW">
    <w:panose1 w:val="00020600040101010101"/>
    <w:charset w:val="86"/>
    <w:family w:val="auto"/>
    <w:pitch w:val="default"/>
    <w:sig w:usb0="A00002BF" w:usb1="18EF7CFA" w:usb2="00000016" w:usb3="00000000" w:csb0="00040000" w:csb1="00000000"/>
  </w:font>
  <w:font w:name="Courier New">
    <w:panose1 w:val="02070309020205020404"/>
    <w:charset w:val="01"/>
    <w:family w:val="modern"/>
    <w:pitch w:val="default"/>
    <w:sig w:usb0="E0002AFF" w:usb1="C0007843" w:usb2="00000009" w:usb3="00000000" w:csb0="400001FF" w:csb1="FFFF0000"/>
  </w:font>
  <w:font w:name="Symbol">
    <w:altName w:val="Kingsoft Sign"/>
    <w:panose1 w:val="05050102010706020507"/>
    <w:charset w:val="02"/>
    <w:family w:val="roman"/>
    <w:pitch w:val="default"/>
    <w:sig w:usb0="00000000" w:usb1="00000000" w:usb2="00000000" w:usb3="00000000" w:csb0="80000000" w:csb1="00000000"/>
  </w:font>
  <w:font w:name="Kingsoft Sign">
    <w:panose1 w:val="05050102010706020507"/>
    <w:charset w:val="00"/>
    <w:family w:val="auto"/>
    <w:pitch w:val="default"/>
    <w:sig w:usb0="00000000" w:usb1="00000000" w:usb2="00000000" w:usb3="00000000" w:csb0="80000000" w:csb1="00000000"/>
  </w:font>
  <w:font w:name="Calibri">
    <w:altName w:val="Arial"/>
    <w:panose1 w:val="020F0502020204030204"/>
    <w:charset w:val="00"/>
    <w:family w:val="swiss"/>
    <w:pitch w:val="default"/>
    <w:sig w:usb0="00000000" w:usb1="00000000" w:usb2="00000001" w:usb3="00000000" w:csb0="0000019F" w:csb1="00000000"/>
  </w:font>
  <w:font w:name="Arial">
    <w:panose1 w:val="020B0604020202020204"/>
    <w:charset w:val="00"/>
    <w:family w:val="auto"/>
    <w:pitch w:val="default"/>
    <w:sig w:usb0="E0002AFF" w:usb1="C0007843" w:usb2="00000009" w:usb3="00000000" w:csb0="400001FF" w:csb1="FFFF0000"/>
  </w:font>
  <w:font w:name="方正小标宋简体">
    <w:altName w:val="Times New Roman"/>
    <w:panose1 w:val="02000000000000000000"/>
    <w:charset w:val="86"/>
    <w:family w:val="script"/>
    <w:pitch w:val="default"/>
    <w:sig w:usb0="00000000" w:usb1="00000000" w:usb2="00000012" w:usb3="00000000" w:csb0="00040001" w:csb1="00000000"/>
  </w:font>
  <w:font w:name="方正小标宋_GBK">
    <w:altName w:val="Times New Roman"/>
    <w:panose1 w:val="00000000000000000000"/>
    <w:charset w:val="00"/>
    <w:family w:val="auto"/>
    <w:pitch w:val="default"/>
    <w:sig w:usb0="00000000" w:usb1="00000000" w:usb2="00000000" w:usb3="00000000" w:csb0="00000000" w:csb1="00000000"/>
  </w:font>
  <w:font w:name="仿宋_GB2312">
    <w:altName w:val="Times New Roman"/>
    <w:panose1 w:val="02010609030101010101"/>
    <w:charset w:val="86"/>
    <w:family w:val="modern"/>
    <w:pitch w:val="default"/>
    <w:sig w:usb0="00000000" w:usb1="00000000" w:usb2="00000000" w:usb3="00000000" w:csb0="00040000" w:csb1="00000000"/>
  </w:font>
  <w:font w:name="方正仿宋_GBK">
    <w:altName w:val="Times New Roman"/>
    <w:panose1 w:val="00000000000000000000"/>
    <w:charset w:val="00"/>
    <w:family w:val="auto"/>
    <w:pitch w:val="default"/>
    <w:sig w:usb0="00000000" w:usb1="00000000" w:usb2="00000000" w:usb3="00000000" w:csb0="00000000" w:csb1="00000000"/>
  </w:font>
  <w:font w:name="仿宋">
    <w:altName w:val="Times New Roman"/>
    <w:panose1 w:val="02010609060101010101"/>
    <w:charset w:val="86"/>
    <w:family w:val="modern"/>
    <w:pitch w:val="default"/>
    <w:sig w:usb0="00000000" w:usb1="00000000" w:usb2="00000016" w:usb3="00000000" w:csb0="00040001" w:csb1="00000000"/>
  </w:font>
  <w:font w:name="乐见体">
    <w:panose1 w:val="02020400000000000000"/>
    <w:charset w:val="86"/>
    <w:family w:val="auto"/>
    <w:pitch w:val="default"/>
    <w:sig w:usb0="80000003" w:usb1="08012000" w:usb2="00000012" w:usb3="00000000" w:csb0="00040001" w:csb1="00000000"/>
  </w:font>
  <w:font w:name="华文中宋">
    <w:panose1 w:val="02010600040101010101"/>
    <w:charset w:val="86"/>
    <w:family w:val="auto"/>
    <w:pitch w:val="default"/>
    <w:sig w:usb0="00000287" w:usb1="080F0000" w:usb2="00000000" w:usb3="00000000" w:csb0="0004009F" w:csb1="DFD70000"/>
  </w:font>
  <w:font w:name="仿宋_GB2312">
    <w:altName w:val="Times New Roman"/>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44964010"/>
    </w:sdtPr>
    <w:sdtContent>
      <w:p w14:paraId="4FC45A2A">
        <w:pPr>
          <w:pStyle w:val="5"/>
          <w:jc w:val="center"/>
        </w:pPr>
        <w:r>
          <w:fldChar w:fldCharType="begin"/>
        </w:r>
        <w:r>
          <w:instrText xml:space="preserve">PAGE   \* MERGEFORMAT</w:instrText>
        </w:r>
        <w:r>
          <w:fldChar w:fldCharType="separate"/>
        </w:r>
        <w:r>
          <w:rPr>
            <w:lang w:val="zh-CN"/>
          </w:rPr>
          <w:t>17</w:t>
        </w:r>
        <w:r>
          <w:fldChar w:fldCharType="end"/>
        </w:r>
      </w:p>
    </w:sdtContent>
  </w:sdt>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435"/>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MmY5YjhmMjlkODQzN2NjOWIwMDA1MDI3Yzk0YTk4NTkifQ=="/>
  </w:docVars>
  <w:rsids>
    <w:rsidRoot w:val="008936CA"/>
    <w:rsid w:val="0004136E"/>
    <w:rsid w:val="000413DA"/>
    <w:rsid w:val="0004797E"/>
    <w:rsid w:val="00055C63"/>
    <w:rsid w:val="0007491A"/>
    <w:rsid w:val="00074C46"/>
    <w:rsid w:val="00086FA4"/>
    <w:rsid w:val="00093331"/>
    <w:rsid w:val="0009585D"/>
    <w:rsid w:val="00096800"/>
    <w:rsid w:val="000A082D"/>
    <w:rsid w:val="000C3978"/>
    <w:rsid w:val="000C79E4"/>
    <w:rsid w:val="000D0D90"/>
    <w:rsid w:val="000D779E"/>
    <w:rsid w:val="000E340B"/>
    <w:rsid w:val="000F13F0"/>
    <w:rsid w:val="000F374A"/>
    <w:rsid w:val="000F537C"/>
    <w:rsid w:val="000F6290"/>
    <w:rsid w:val="00102D66"/>
    <w:rsid w:val="00115B03"/>
    <w:rsid w:val="001211E5"/>
    <w:rsid w:val="0015667E"/>
    <w:rsid w:val="00164DB5"/>
    <w:rsid w:val="001709C5"/>
    <w:rsid w:val="00173A46"/>
    <w:rsid w:val="00175C3A"/>
    <w:rsid w:val="0018514E"/>
    <w:rsid w:val="001A719D"/>
    <w:rsid w:val="001F5735"/>
    <w:rsid w:val="002028AB"/>
    <w:rsid w:val="002278F3"/>
    <w:rsid w:val="00233DF9"/>
    <w:rsid w:val="00236552"/>
    <w:rsid w:val="002652AA"/>
    <w:rsid w:val="002B10F7"/>
    <w:rsid w:val="002D1C4D"/>
    <w:rsid w:val="002F2746"/>
    <w:rsid w:val="002F58BD"/>
    <w:rsid w:val="00304414"/>
    <w:rsid w:val="00307BE2"/>
    <w:rsid w:val="003111A5"/>
    <w:rsid w:val="0033750E"/>
    <w:rsid w:val="00340F78"/>
    <w:rsid w:val="0035456A"/>
    <w:rsid w:val="00365EA0"/>
    <w:rsid w:val="0038445D"/>
    <w:rsid w:val="00395CA8"/>
    <w:rsid w:val="00397775"/>
    <w:rsid w:val="003A6D8D"/>
    <w:rsid w:val="003D175E"/>
    <w:rsid w:val="003E1730"/>
    <w:rsid w:val="003E426D"/>
    <w:rsid w:val="003E7B05"/>
    <w:rsid w:val="003E7C15"/>
    <w:rsid w:val="003F1619"/>
    <w:rsid w:val="003F7B73"/>
    <w:rsid w:val="0041786A"/>
    <w:rsid w:val="00423798"/>
    <w:rsid w:val="0044765E"/>
    <w:rsid w:val="00450DAD"/>
    <w:rsid w:val="00455F35"/>
    <w:rsid w:val="004619FF"/>
    <w:rsid w:val="00461C03"/>
    <w:rsid w:val="00466CDA"/>
    <w:rsid w:val="0047526E"/>
    <w:rsid w:val="00482691"/>
    <w:rsid w:val="0049506A"/>
    <w:rsid w:val="004C16B5"/>
    <w:rsid w:val="004C26F9"/>
    <w:rsid w:val="004D0B4A"/>
    <w:rsid w:val="00503613"/>
    <w:rsid w:val="005042E6"/>
    <w:rsid w:val="005127A3"/>
    <w:rsid w:val="005146CC"/>
    <w:rsid w:val="00541B36"/>
    <w:rsid w:val="005A0FB6"/>
    <w:rsid w:val="005D1843"/>
    <w:rsid w:val="005E7DE8"/>
    <w:rsid w:val="00601F19"/>
    <w:rsid w:val="00611B34"/>
    <w:rsid w:val="00614D89"/>
    <w:rsid w:val="00622874"/>
    <w:rsid w:val="00630F4A"/>
    <w:rsid w:val="0063139C"/>
    <w:rsid w:val="00632DB4"/>
    <w:rsid w:val="006431B7"/>
    <w:rsid w:val="00667329"/>
    <w:rsid w:val="00670A99"/>
    <w:rsid w:val="00680BB2"/>
    <w:rsid w:val="006860CA"/>
    <w:rsid w:val="00692EFA"/>
    <w:rsid w:val="006945EE"/>
    <w:rsid w:val="006A3292"/>
    <w:rsid w:val="006B31D8"/>
    <w:rsid w:val="006B445C"/>
    <w:rsid w:val="006C2A83"/>
    <w:rsid w:val="006F7FCD"/>
    <w:rsid w:val="007116AC"/>
    <w:rsid w:val="00715603"/>
    <w:rsid w:val="00715B17"/>
    <w:rsid w:val="007176D0"/>
    <w:rsid w:val="007224DF"/>
    <w:rsid w:val="007250F1"/>
    <w:rsid w:val="007403BA"/>
    <w:rsid w:val="007458CC"/>
    <w:rsid w:val="0074635B"/>
    <w:rsid w:val="00746693"/>
    <w:rsid w:val="00754A1C"/>
    <w:rsid w:val="00761C8F"/>
    <w:rsid w:val="00761F1D"/>
    <w:rsid w:val="00767B51"/>
    <w:rsid w:val="00775DD0"/>
    <w:rsid w:val="00782563"/>
    <w:rsid w:val="00785521"/>
    <w:rsid w:val="0079790E"/>
    <w:rsid w:val="007A13C2"/>
    <w:rsid w:val="007A4314"/>
    <w:rsid w:val="007B0741"/>
    <w:rsid w:val="007B4F8F"/>
    <w:rsid w:val="007C0CF6"/>
    <w:rsid w:val="007C11D0"/>
    <w:rsid w:val="007C5438"/>
    <w:rsid w:val="007D6038"/>
    <w:rsid w:val="007D76D0"/>
    <w:rsid w:val="007E04F9"/>
    <w:rsid w:val="007F7302"/>
    <w:rsid w:val="00815292"/>
    <w:rsid w:val="00821EEF"/>
    <w:rsid w:val="00821F1E"/>
    <w:rsid w:val="00826669"/>
    <w:rsid w:val="0082793E"/>
    <w:rsid w:val="00831937"/>
    <w:rsid w:val="0084266D"/>
    <w:rsid w:val="00855183"/>
    <w:rsid w:val="008936CA"/>
    <w:rsid w:val="008C0F57"/>
    <w:rsid w:val="008C4B1A"/>
    <w:rsid w:val="008E39E2"/>
    <w:rsid w:val="008F61B4"/>
    <w:rsid w:val="00900AB9"/>
    <w:rsid w:val="009016B7"/>
    <w:rsid w:val="00923F02"/>
    <w:rsid w:val="0092486A"/>
    <w:rsid w:val="00926BAF"/>
    <w:rsid w:val="00941C98"/>
    <w:rsid w:val="00943978"/>
    <w:rsid w:val="00943EEA"/>
    <w:rsid w:val="00952BDC"/>
    <w:rsid w:val="0095613B"/>
    <w:rsid w:val="009741B0"/>
    <w:rsid w:val="00982C33"/>
    <w:rsid w:val="00986C17"/>
    <w:rsid w:val="009B0CA5"/>
    <w:rsid w:val="009B79BE"/>
    <w:rsid w:val="009C3197"/>
    <w:rsid w:val="009C43F1"/>
    <w:rsid w:val="009C7F86"/>
    <w:rsid w:val="009D29EF"/>
    <w:rsid w:val="009D5087"/>
    <w:rsid w:val="009D5CC3"/>
    <w:rsid w:val="009F2CAD"/>
    <w:rsid w:val="009F3BD7"/>
    <w:rsid w:val="009F4762"/>
    <w:rsid w:val="00A04609"/>
    <w:rsid w:val="00A07CF8"/>
    <w:rsid w:val="00A158AB"/>
    <w:rsid w:val="00A27CA2"/>
    <w:rsid w:val="00A405A0"/>
    <w:rsid w:val="00A474F9"/>
    <w:rsid w:val="00A60FA6"/>
    <w:rsid w:val="00A6485E"/>
    <w:rsid w:val="00A73D1E"/>
    <w:rsid w:val="00A84684"/>
    <w:rsid w:val="00A86B7B"/>
    <w:rsid w:val="00A97A8A"/>
    <w:rsid w:val="00AA2921"/>
    <w:rsid w:val="00AB64FB"/>
    <w:rsid w:val="00AC089E"/>
    <w:rsid w:val="00AC7A57"/>
    <w:rsid w:val="00AE2509"/>
    <w:rsid w:val="00AE71E2"/>
    <w:rsid w:val="00AF09CD"/>
    <w:rsid w:val="00AF1122"/>
    <w:rsid w:val="00B021DA"/>
    <w:rsid w:val="00B04543"/>
    <w:rsid w:val="00B05709"/>
    <w:rsid w:val="00B223E4"/>
    <w:rsid w:val="00B24F02"/>
    <w:rsid w:val="00B30D0C"/>
    <w:rsid w:val="00B363EE"/>
    <w:rsid w:val="00B5283A"/>
    <w:rsid w:val="00B52871"/>
    <w:rsid w:val="00B52950"/>
    <w:rsid w:val="00B75B50"/>
    <w:rsid w:val="00B81129"/>
    <w:rsid w:val="00BC081C"/>
    <w:rsid w:val="00BF1554"/>
    <w:rsid w:val="00BF7295"/>
    <w:rsid w:val="00C07E0F"/>
    <w:rsid w:val="00C2795B"/>
    <w:rsid w:val="00C32127"/>
    <w:rsid w:val="00C4302E"/>
    <w:rsid w:val="00C70A77"/>
    <w:rsid w:val="00C81085"/>
    <w:rsid w:val="00C90AD8"/>
    <w:rsid w:val="00C96647"/>
    <w:rsid w:val="00CA4B7D"/>
    <w:rsid w:val="00CA759E"/>
    <w:rsid w:val="00CC1DB3"/>
    <w:rsid w:val="00CC3B4A"/>
    <w:rsid w:val="00CD145B"/>
    <w:rsid w:val="00CD5865"/>
    <w:rsid w:val="00CD7675"/>
    <w:rsid w:val="00CF4695"/>
    <w:rsid w:val="00CF5045"/>
    <w:rsid w:val="00D02B18"/>
    <w:rsid w:val="00D05307"/>
    <w:rsid w:val="00D12D3F"/>
    <w:rsid w:val="00D21588"/>
    <w:rsid w:val="00D22FDF"/>
    <w:rsid w:val="00D26AD1"/>
    <w:rsid w:val="00D332C4"/>
    <w:rsid w:val="00D3599E"/>
    <w:rsid w:val="00D55A59"/>
    <w:rsid w:val="00D646B6"/>
    <w:rsid w:val="00D81A99"/>
    <w:rsid w:val="00D86401"/>
    <w:rsid w:val="00D91363"/>
    <w:rsid w:val="00D927C5"/>
    <w:rsid w:val="00D93DDB"/>
    <w:rsid w:val="00DB501F"/>
    <w:rsid w:val="00DC0137"/>
    <w:rsid w:val="00DC25DE"/>
    <w:rsid w:val="00DC472D"/>
    <w:rsid w:val="00DC6B9C"/>
    <w:rsid w:val="00DE00BD"/>
    <w:rsid w:val="00DE55EC"/>
    <w:rsid w:val="00DF396B"/>
    <w:rsid w:val="00DF6206"/>
    <w:rsid w:val="00E12A15"/>
    <w:rsid w:val="00E334BB"/>
    <w:rsid w:val="00E60174"/>
    <w:rsid w:val="00E709CF"/>
    <w:rsid w:val="00EA2BA5"/>
    <w:rsid w:val="00EB52DC"/>
    <w:rsid w:val="00EB5CA0"/>
    <w:rsid w:val="00EC2D96"/>
    <w:rsid w:val="00EC4169"/>
    <w:rsid w:val="00ED1E2A"/>
    <w:rsid w:val="00ED7F09"/>
    <w:rsid w:val="00EF27DF"/>
    <w:rsid w:val="00F2220A"/>
    <w:rsid w:val="00F25CE4"/>
    <w:rsid w:val="00F40CC5"/>
    <w:rsid w:val="00F46FD7"/>
    <w:rsid w:val="00F64049"/>
    <w:rsid w:val="00F82243"/>
    <w:rsid w:val="00F82CA3"/>
    <w:rsid w:val="00F863C4"/>
    <w:rsid w:val="00FA306A"/>
    <w:rsid w:val="00FB42BD"/>
    <w:rsid w:val="00FE4422"/>
    <w:rsid w:val="00FF66A0"/>
    <w:rsid w:val="00FF6F0B"/>
    <w:rsid w:val="011D2710"/>
    <w:rsid w:val="01266DE0"/>
    <w:rsid w:val="01442D3B"/>
    <w:rsid w:val="014D0B1B"/>
    <w:rsid w:val="0167398B"/>
    <w:rsid w:val="01732EA9"/>
    <w:rsid w:val="01802C9E"/>
    <w:rsid w:val="01CB0F78"/>
    <w:rsid w:val="01D3583A"/>
    <w:rsid w:val="03C84F7E"/>
    <w:rsid w:val="040D00EE"/>
    <w:rsid w:val="04246DD8"/>
    <w:rsid w:val="047B14FB"/>
    <w:rsid w:val="04C9670A"/>
    <w:rsid w:val="05362461"/>
    <w:rsid w:val="0558140C"/>
    <w:rsid w:val="056930E1"/>
    <w:rsid w:val="059705B7"/>
    <w:rsid w:val="05A109ED"/>
    <w:rsid w:val="05B175A9"/>
    <w:rsid w:val="05EF4C01"/>
    <w:rsid w:val="065E3D3D"/>
    <w:rsid w:val="06A638AA"/>
    <w:rsid w:val="06CE1DB6"/>
    <w:rsid w:val="07267E44"/>
    <w:rsid w:val="07510150"/>
    <w:rsid w:val="076F5347"/>
    <w:rsid w:val="07896030"/>
    <w:rsid w:val="07F341CA"/>
    <w:rsid w:val="08966904"/>
    <w:rsid w:val="08C43471"/>
    <w:rsid w:val="08FF094D"/>
    <w:rsid w:val="092B1742"/>
    <w:rsid w:val="0A054E41"/>
    <w:rsid w:val="0A113938"/>
    <w:rsid w:val="0A44617B"/>
    <w:rsid w:val="0A516F86"/>
    <w:rsid w:val="0A6F5F1F"/>
    <w:rsid w:val="0ABD7E0C"/>
    <w:rsid w:val="0AF618DB"/>
    <w:rsid w:val="0C1817FB"/>
    <w:rsid w:val="0CC53C5B"/>
    <w:rsid w:val="0CE51C08"/>
    <w:rsid w:val="0CF956B3"/>
    <w:rsid w:val="0D0D30CA"/>
    <w:rsid w:val="0E1529C0"/>
    <w:rsid w:val="0E176739"/>
    <w:rsid w:val="0E5139F9"/>
    <w:rsid w:val="0E576B35"/>
    <w:rsid w:val="0EA6695D"/>
    <w:rsid w:val="0EB5339C"/>
    <w:rsid w:val="0EFA0418"/>
    <w:rsid w:val="0FD3023A"/>
    <w:rsid w:val="101D790A"/>
    <w:rsid w:val="103E1697"/>
    <w:rsid w:val="103F3D25"/>
    <w:rsid w:val="109751D5"/>
    <w:rsid w:val="109B53FF"/>
    <w:rsid w:val="10E2721D"/>
    <w:rsid w:val="114555D1"/>
    <w:rsid w:val="11571550"/>
    <w:rsid w:val="11EB6F01"/>
    <w:rsid w:val="123E5A03"/>
    <w:rsid w:val="125C7193"/>
    <w:rsid w:val="12863E8D"/>
    <w:rsid w:val="12B409FA"/>
    <w:rsid w:val="12DA1AE3"/>
    <w:rsid w:val="12E157D5"/>
    <w:rsid w:val="12F73226"/>
    <w:rsid w:val="1361537F"/>
    <w:rsid w:val="136C4E31"/>
    <w:rsid w:val="13827854"/>
    <w:rsid w:val="13A04ADA"/>
    <w:rsid w:val="141352AC"/>
    <w:rsid w:val="14A10B0A"/>
    <w:rsid w:val="150D619F"/>
    <w:rsid w:val="15190FE8"/>
    <w:rsid w:val="15C9278E"/>
    <w:rsid w:val="16610551"/>
    <w:rsid w:val="16706D63"/>
    <w:rsid w:val="167F30CD"/>
    <w:rsid w:val="169A3A63"/>
    <w:rsid w:val="16AC16F4"/>
    <w:rsid w:val="18355489"/>
    <w:rsid w:val="18504D21"/>
    <w:rsid w:val="18A27628"/>
    <w:rsid w:val="19265A82"/>
    <w:rsid w:val="19297AB4"/>
    <w:rsid w:val="19453427"/>
    <w:rsid w:val="19786613"/>
    <w:rsid w:val="19D97BAD"/>
    <w:rsid w:val="19DB4ABE"/>
    <w:rsid w:val="19EB43CB"/>
    <w:rsid w:val="1A361CF4"/>
    <w:rsid w:val="1A7171D0"/>
    <w:rsid w:val="1A7840BB"/>
    <w:rsid w:val="1AF97D1E"/>
    <w:rsid w:val="1B037EFE"/>
    <w:rsid w:val="1BB647D7"/>
    <w:rsid w:val="1BE837E7"/>
    <w:rsid w:val="1C896A53"/>
    <w:rsid w:val="1D1F2F14"/>
    <w:rsid w:val="1D2C2922"/>
    <w:rsid w:val="1D81597C"/>
    <w:rsid w:val="1DE12C05"/>
    <w:rsid w:val="1E3D00FE"/>
    <w:rsid w:val="1E3F0A5F"/>
    <w:rsid w:val="1E982EDD"/>
    <w:rsid w:val="1EDF295B"/>
    <w:rsid w:val="1F6E1F30"/>
    <w:rsid w:val="1F7A72A7"/>
    <w:rsid w:val="1F8B663F"/>
    <w:rsid w:val="1FB9334E"/>
    <w:rsid w:val="1FD23A3D"/>
    <w:rsid w:val="1FE3647B"/>
    <w:rsid w:val="1FFE3ED9"/>
    <w:rsid w:val="2008241C"/>
    <w:rsid w:val="203B0065"/>
    <w:rsid w:val="208C4AEF"/>
    <w:rsid w:val="218E0668"/>
    <w:rsid w:val="21A97250"/>
    <w:rsid w:val="21AB7593"/>
    <w:rsid w:val="21FC45D3"/>
    <w:rsid w:val="229972C4"/>
    <w:rsid w:val="230961F8"/>
    <w:rsid w:val="23360FB7"/>
    <w:rsid w:val="23CD5478"/>
    <w:rsid w:val="23F23130"/>
    <w:rsid w:val="24385B0B"/>
    <w:rsid w:val="24A87C93"/>
    <w:rsid w:val="24FB4266"/>
    <w:rsid w:val="252E3F9D"/>
    <w:rsid w:val="256C0CC0"/>
    <w:rsid w:val="25B16A95"/>
    <w:rsid w:val="2604539D"/>
    <w:rsid w:val="263F0183"/>
    <w:rsid w:val="269D312A"/>
    <w:rsid w:val="2702368A"/>
    <w:rsid w:val="270925B9"/>
    <w:rsid w:val="273A72C8"/>
    <w:rsid w:val="27410C8B"/>
    <w:rsid w:val="276B3773"/>
    <w:rsid w:val="27813291"/>
    <w:rsid w:val="28024512"/>
    <w:rsid w:val="28286397"/>
    <w:rsid w:val="28643ED1"/>
    <w:rsid w:val="28780458"/>
    <w:rsid w:val="289D6A1D"/>
    <w:rsid w:val="28BB58AA"/>
    <w:rsid w:val="28C66939"/>
    <w:rsid w:val="28CD7BF1"/>
    <w:rsid w:val="28F6721F"/>
    <w:rsid w:val="29176703"/>
    <w:rsid w:val="291A5E57"/>
    <w:rsid w:val="293253E8"/>
    <w:rsid w:val="294E2DD5"/>
    <w:rsid w:val="2995122C"/>
    <w:rsid w:val="29EE6148"/>
    <w:rsid w:val="2A2947C4"/>
    <w:rsid w:val="2AAF3B29"/>
    <w:rsid w:val="2AC05DA9"/>
    <w:rsid w:val="2AC802D7"/>
    <w:rsid w:val="2AE83F4F"/>
    <w:rsid w:val="2AE9677B"/>
    <w:rsid w:val="2AFC4894"/>
    <w:rsid w:val="2B293F56"/>
    <w:rsid w:val="2B361B54"/>
    <w:rsid w:val="2B7758AC"/>
    <w:rsid w:val="2BCC070B"/>
    <w:rsid w:val="2BD5281E"/>
    <w:rsid w:val="2C131E96"/>
    <w:rsid w:val="2C3F207D"/>
    <w:rsid w:val="2C9A5BFC"/>
    <w:rsid w:val="2CC94C4A"/>
    <w:rsid w:val="2D5C0833"/>
    <w:rsid w:val="2D6F75A0"/>
    <w:rsid w:val="2D9E60D7"/>
    <w:rsid w:val="2E136DA2"/>
    <w:rsid w:val="2E855E58"/>
    <w:rsid w:val="2E922ADA"/>
    <w:rsid w:val="2EB84F76"/>
    <w:rsid w:val="2ED935EE"/>
    <w:rsid w:val="2F0C624D"/>
    <w:rsid w:val="2FB31D6A"/>
    <w:rsid w:val="2FC975DC"/>
    <w:rsid w:val="2FD77A8F"/>
    <w:rsid w:val="2FD9651F"/>
    <w:rsid w:val="30586A11"/>
    <w:rsid w:val="30796A94"/>
    <w:rsid w:val="30843362"/>
    <w:rsid w:val="30B4053A"/>
    <w:rsid w:val="31346778"/>
    <w:rsid w:val="31653193"/>
    <w:rsid w:val="316D5C81"/>
    <w:rsid w:val="31B36119"/>
    <w:rsid w:val="31E85B72"/>
    <w:rsid w:val="323E2610"/>
    <w:rsid w:val="327F1AF9"/>
    <w:rsid w:val="32C57C62"/>
    <w:rsid w:val="32E225C2"/>
    <w:rsid w:val="33291F9F"/>
    <w:rsid w:val="3337375E"/>
    <w:rsid w:val="33730FC1"/>
    <w:rsid w:val="3381002D"/>
    <w:rsid w:val="34264730"/>
    <w:rsid w:val="343926B5"/>
    <w:rsid w:val="346314DD"/>
    <w:rsid w:val="346A7F5E"/>
    <w:rsid w:val="34A9783B"/>
    <w:rsid w:val="34B235A1"/>
    <w:rsid w:val="34B955A4"/>
    <w:rsid w:val="354045D2"/>
    <w:rsid w:val="354D0F3E"/>
    <w:rsid w:val="35693372"/>
    <w:rsid w:val="35B17D86"/>
    <w:rsid w:val="35F965A0"/>
    <w:rsid w:val="36C546D4"/>
    <w:rsid w:val="36F00D68"/>
    <w:rsid w:val="37071FD5"/>
    <w:rsid w:val="372D779A"/>
    <w:rsid w:val="375F2437"/>
    <w:rsid w:val="38AE1ADE"/>
    <w:rsid w:val="38CA4224"/>
    <w:rsid w:val="38FA5125"/>
    <w:rsid w:val="39170C81"/>
    <w:rsid w:val="39317DFF"/>
    <w:rsid w:val="395624F3"/>
    <w:rsid w:val="39E733B4"/>
    <w:rsid w:val="39FB2656"/>
    <w:rsid w:val="3AC00ED5"/>
    <w:rsid w:val="3AED2AD9"/>
    <w:rsid w:val="3AFD5CEA"/>
    <w:rsid w:val="3B196D9D"/>
    <w:rsid w:val="3BA64AD4"/>
    <w:rsid w:val="3C291261"/>
    <w:rsid w:val="3C601127"/>
    <w:rsid w:val="3C7D0E55"/>
    <w:rsid w:val="3C89755C"/>
    <w:rsid w:val="3CD530D9"/>
    <w:rsid w:val="3CD86C17"/>
    <w:rsid w:val="3D4D2D2E"/>
    <w:rsid w:val="3DC70D32"/>
    <w:rsid w:val="3ECE069F"/>
    <w:rsid w:val="3F2A5A1C"/>
    <w:rsid w:val="3F452EBC"/>
    <w:rsid w:val="3F762E5F"/>
    <w:rsid w:val="3FEE25A6"/>
    <w:rsid w:val="40D75730"/>
    <w:rsid w:val="40E85247"/>
    <w:rsid w:val="41197AF6"/>
    <w:rsid w:val="41D8755F"/>
    <w:rsid w:val="42073DF3"/>
    <w:rsid w:val="424B156D"/>
    <w:rsid w:val="42D00622"/>
    <w:rsid w:val="42F30E2E"/>
    <w:rsid w:val="432D4946"/>
    <w:rsid w:val="43601A0D"/>
    <w:rsid w:val="436440DF"/>
    <w:rsid w:val="44557097"/>
    <w:rsid w:val="458E09E9"/>
    <w:rsid w:val="45AB4029"/>
    <w:rsid w:val="45E40855"/>
    <w:rsid w:val="46E93AC7"/>
    <w:rsid w:val="46FF32EA"/>
    <w:rsid w:val="47B10A89"/>
    <w:rsid w:val="47EC2373"/>
    <w:rsid w:val="480E5EDB"/>
    <w:rsid w:val="487A1B0F"/>
    <w:rsid w:val="48D81F0D"/>
    <w:rsid w:val="48E76A64"/>
    <w:rsid w:val="49856A41"/>
    <w:rsid w:val="49CF169A"/>
    <w:rsid w:val="4A2315FD"/>
    <w:rsid w:val="4ADA0E87"/>
    <w:rsid w:val="4AF506FC"/>
    <w:rsid w:val="4B272E10"/>
    <w:rsid w:val="4B457AB3"/>
    <w:rsid w:val="4B8D3BF8"/>
    <w:rsid w:val="4C3F3BB4"/>
    <w:rsid w:val="4C771740"/>
    <w:rsid w:val="4C955A9C"/>
    <w:rsid w:val="4CCA399C"/>
    <w:rsid w:val="4DF711BF"/>
    <w:rsid w:val="4EAF71EC"/>
    <w:rsid w:val="4EB90223"/>
    <w:rsid w:val="4F1D3C41"/>
    <w:rsid w:val="4F7DFA8C"/>
    <w:rsid w:val="50206801"/>
    <w:rsid w:val="50655B2B"/>
    <w:rsid w:val="506863A4"/>
    <w:rsid w:val="50A071EE"/>
    <w:rsid w:val="50AC6291"/>
    <w:rsid w:val="510D2AA8"/>
    <w:rsid w:val="51112598"/>
    <w:rsid w:val="51447503"/>
    <w:rsid w:val="516721B8"/>
    <w:rsid w:val="51CE4CD0"/>
    <w:rsid w:val="52642B9B"/>
    <w:rsid w:val="52B7244D"/>
    <w:rsid w:val="52BF7DD2"/>
    <w:rsid w:val="52C00ACC"/>
    <w:rsid w:val="5373753A"/>
    <w:rsid w:val="53AB5439"/>
    <w:rsid w:val="541A1764"/>
    <w:rsid w:val="54680721"/>
    <w:rsid w:val="54DC5165"/>
    <w:rsid w:val="5506708D"/>
    <w:rsid w:val="558649FD"/>
    <w:rsid w:val="55AD1CAF"/>
    <w:rsid w:val="55BB6F76"/>
    <w:rsid w:val="55C027DF"/>
    <w:rsid w:val="55D72B6C"/>
    <w:rsid w:val="55E720B4"/>
    <w:rsid w:val="56242786"/>
    <w:rsid w:val="566C201F"/>
    <w:rsid w:val="56913B98"/>
    <w:rsid w:val="56DB78D0"/>
    <w:rsid w:val="57450EF0"/>
    <w:rsid w:val="57556288"/>
    <w:rsid w:val="5798553F"/>
    <w:rsid w:val="57E150B4"/>
    <w:rsid w:val="57EA7347"/>
    <w:rsid w:val="57F347A6"/>
    <w:rsid w:val="57F81438"/>
    <w:rsid w:val="582E170A"/>
    <w:rsid w:val="589A7317"/>
    <w:rsid w:val="59113983"/>
    <w:rsid w:val="5939268C"/>
    <w:rsid w:val="594270B5"/>
    <w:rsid w:val="59CA59DA"/>
    <w:rsid w:val="5A05257D"/>
    <w:rsid w:val="5B04479B"/>
    <w:rsid w:val="5B4371E1"/>
    <w:rsid w:val="5B477DDE"/>
    <w:rsid w:val="5C133668"/>
    <w:rsid w:val="5C255F84"/>
    <w:rsid w:val="5C295165"/>
    <w:rsid w:val="5C836D86"/>
    <w:rsid w:val="5CB15C65"/>
    <w:rsid w:val="5D2D67EB"/>
    <w:rsid w:val="5DB1138B"/>
    <w:rsid w:val="5E31427A"/>
    <w:rsid w:val="5E9C3506"/>
    <w:rsid w:val="5EC92704"/>
    <w:rsid w:val="5EDF7D5B"/>
    <w:rsid w:val="5F167DDF"/>
    <w:rsid w:val="600018F0"/>
    <w:rsid w:val="60271FBE"/>
    <w:rsid w:val="6027423D"/>
    <w:rsid w:val="603753C9"/>
    <w:rsid w:val="60A56859"/>
    <w:rsid w:val="61842912"/>
    <w:rsid w:val="619A0388"/>
    <w:rsid w:val="61D44794"/>
    <w:rsid w:val="61DC44FC"/>
    <w:rsid w:val="62A03B93"/>
    <w:rsid w:val="62D942E5"/>
    <w:rsid w:val="6364396D"/>
    <w:rsid w:val="636D5D54"/>
    <w:rsid w:val="639C2195"/>
    <w:rsid w:val="63A4729C"/>
    <w:rsid w:val="63C67212"/>
    <w:rsid w:val="6422768E"/>
    <w:rsid w:val="64682077"/>
    <w:rsid w:val="64A00BFE"/>
    <w:rsid w:val="64ED74EB"/>
    <w:rsid w:val="65407068"/>
    <w:rsid w:val="66304E17"/>
    <w:rsid w:val="66ED2D08"/>
    <w:rsid w:val="6773145F"/>
    <w:rsid w:val="67743959"/>
    <w:rsid w:val="679D4B63"/>
    <w:rsid w:val="67AE06E9"/>
    <w:rsid w:val="68161B19"/>
    <w:rsid w:val="684150B9"/>
    <w:rsid w:val="68A37B22"/>
    <w:rsid w:val="68C161FA"/>
    <w:rsid w:val="69B77631"/>
    <w:rsid w:val="6A273482"/>
    <w:rsid w:val="6A611A43"/>
    <w:rsid w:val="6AF2194B"/>
    <w:rsid w:val="6B03329B"/>
    <w:rsid w:val="6B0F113D"/>
    <w:rsid w:val="6B3F07B4"/>
    <w:rsid w:val="6BAB1FB7"/>
    <w:rsid w:val="6C2F0267"/>
    <w:rsid w:val="6C711CF4"/>
    <w:rsid w:val="6C741C07"/>
    <w:rsid w:val="6C97174C"/>
    <w:rsid w:val="6CDE5A5F"/>
    <w:rsid w:val="6D6A1376"/>
    <w:rsid w:val="6D6C0E2A"/>
    <w:rsid w:val="6D8617C0"/>
    <w:rsid w:val="6E217E67"/>
    <w:rsid w:val="6E3A2CD6"/>
    <w:rsid w:val="6E9D2131"/>
    <w:rsid w:val="6F2F19F7"/>
    <w:rsid w:val="6F4A519B"/>
    <w:rsid w:val="6FB82C9B"/>
    <w:rsid w:val="6FD028ED"/>
    <w:rsid w:val="6FD40F09"/>
    <w:rsid w:val="6FED40F4"/>
    <w:rsid w:val="7017044C"/>
    <w:rsid w:val="70706B11"/>
    <w:rsid w:val="70A104E2"/>
    <w:rsid w:val="70AC59E2"/>
    <w:rsid w:val="70E9352B"/>
    <w:rsid w:val="710851C5"/>
    <w:rsid w:val="711B5BAF"/>
    <w:rsid w:val="71573B9F"/>
    <w:rsid w:val="71596531"/>
    <w:rsid w:val="716C2780"/>
    <w:rsid w:val="716F2C97"/>
    <w:rsid w:val="71A60683"/>
    <w:rsid w:val="71B75712"/>
    <w:rsid w:val="72703CB7"/>
    <w:rsid w:val="73056231"/>
    <w:rsid w:val="735B5595"/>
    <w:rsid w:val="73741E7B"/>
    <w:rsid w:val="73E07E7C"/>
    <w:rsid w:val="7420581E"/>
    <w:rsid w:val="74416441"/>
    <w:rsid w:val="745858C2"/>
    <w:rsid w:val="74597836"/>
    <w:rsid w:val="74E934AE"/>
    <w:rsid w:val="75012ABA"/>
    <w:rsid w:val="751D102C"/>
    <w:rsid w:val="7544443B"/>
    <w:rsid w:val="7610256F"/>
    <w:rsid w:val="76200A04"/>
    <w:rsid w:val="763A5EFA"/>
    <w:rsid w:val="765D3A06"/>
    <w:rsid w:val="76672187"/>
    <w:rsid w:val="769D3E02"/>
    <w:rsid w:val="76B92C06"/>
    <w:rsid w:val="771147F0"/>
    <w:rsid w:val="77277B70"/>
    <w:rsid w:val="77385CCD"/>
    <w:rsid w:val="775748F9"/>
    <w:rsid w:val="780600CD"/>
    <w:rsid w:val="784226F8"/>
    <w:rsid w:val="786F17CF"/>
    <w:rsid w:val="78767001"/>
    <w:rsid w:val="79C84CC0"/>
    <w:rsid w:val="79F24465"/>
    <w:rsid w:val="7A2D7B93"/>
    <w:rsid w:val="7AFD1314"/>
    <w:rsid w:val="7B29035B"/>
    <w:rsid w:val="7B396CC1"/>
    <w:rsid w:val="7BD007D6"/>
    <w:rsid w:val="7C3A0345"/>
    <w:rsid w:val="7C4129CC"/>
    <w:rsid w:val="7C570525"/>
    <w:rsid w:val="7C9A0DE4"/>
    <w:rsid w:val="7CDC31AB"/>
    <w:rsid w:val="7D80622C"/>
    <w:rsid w:val="7DB5527D"/>
    <w:rsid w:val="7DC91981"/>
    <w:rsid w:val="7EF54967"/>
    <w:rsid w:val="7F1430D0"/>
    <w:rsid w:val="7F5D7C9F"/>
    <w:rsid w:val="7F947D6D"/>
    <w:rsid w:val="7FE46DDB"/>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paragraph" w:styleId="2">
    <w:name w:val="heading 2"/>
    <w:basedOn w:val="1"/>
    <w:next w:val="1"/>
    <w:link w:val="15"/>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7"/>
    <w:unhideWhenUsed/>
    <w:qFormat/>
    <w:uiPriority w:val="99"/>
    <w:pPr>
      <w:tabs>
        <w:tab w:val="center" w:pos="4153"/>
        <w:tab w:val="right" w:pos="8306"/>
      </w:tabs>
      <w:snapToGrid w:val="0"/>
      <w:jc w:val="left"/>
    </w:pPr>
    <w:rPr>
      <w:sz w:val="18"/>
      <w:szCs w:val="18"/>
    </w:rPr>
  </w:style>
  <w:style w:type="paragraph" w:styleId="6">
    <w:name w:val="header"/>
    <w:basedOn w:val="1"/>
    <w:link w:val="16"/>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cs="宋体"/>
      <w:kern w:val="0"/>
      <w:sz w:val="24"/>
      <w:szCs w:val="24"/>
    </w:rPr>
  </w:style>
  <w:style w:type="paragraph" w:styleId="8">
    <w:name w:val="annotation subject"/>
    <w:basedOn w:val="3"/>
    <w:next w:val="3"/>
    <w:link w:val="20"/>
    <w:semiHidden/>
    <w:unhideWhenUsed/>
    <w:qFormat/>
    <w:uiPriority w:val="99"/>
    <w:rPr>
      <w:b/>
      <w:bCs/>
    </w:rPr>
  </w:style>
  <w:style w:type="table" w:styleId="10">
    <w:name w:val="Table Grid"/>
    <w:basedOn w:val="9"/>
    <w:qFormat/>
    <w:uiPriority w:val="0"/>
    <w:rPr>
      <w:sz w:val="21"/>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Emphasis"/>
    <w:basedOn w:val="11"/>
    <w:qFormat/>
    <w:uiPriority w:val="20"/>
    <w:rPr>
      <w:i/>
    </w:rPr>
  </w:style>
  <w:style w:type="character" w:styleId="13">
    <w:name w:val="Hyperlink"/>
    <w:basedOn w:val="11"/>
    <w:semiHidden/>
    <w:unhideWhenUsed/>
    <w:qFormat/>
    <w:uiPriority w:val="99"/>
    <w:rPr>
      <w:color w:val="0000FF"/>
      <w:u w:val="single"/>
    </w:rPr>
  </w:style>
  <w:style w:type="character" w:styleId="14">
    <w:name w:val="annotation reference"/>
    <w:basedOn w:val="11"/>
    <w:semiHidden/>
    <w:unhideWhenUsed/>
    <w:qFormat/>
    <w:uiPriority w:val="99"/>
    <w:rPr>
      <w:sz w:val="21"/>
      <w:szCs w:val="21"/>
    </w:rPr>
  </w:style>
  <w:style w:type="character" w:customStyle="1" w:styleId="15">
    <w:name w:val="标题 2 字符"/>
    <w:basedOn w:val="11"/>
    <w:link w:val="2"/>
    <w:qFormat/>
    <w:uiPriority w:val="9"/>
    <w:rPr>
      <w:rFonts w:asciiTheme="majorHAnsi" w:hAnsiTheme="majorHAnsi" w:eastAsiaTheme="majorEastAsia" w:cstheme="majorBidi"/>
      <w:b/>
      <w:bCs/>
      <w:szCs w:val="32"/>
    </w:rPr>
  </w:style>
  <w:style w:type="character" w:customStyle="1" w:styleId="16">
    <w:name w:val="页眉 字符"/>
    <w:basedOn w:val="11"/>
    <w:link w:val="6"/>
    <w:qFormat/>
    <w:uiPriority w:val="99"/>
    <w:rPr>
      <w:rFonts w:ascii="Calibri" w:hAnsi="Calibri" w:eastAsia="宋体" w:cs="Times New Roman"/>
      <w:sz w:val="18"/>
      <w:szCs w:val="18"/>
    </w:rPr>
  </w:style>
  <w:style w:type="character" w:customStyle="1" w:styleId="17">
    <w:name w:val="页脚 字符"/>
    <w:basedOn w:val="11"/>
    <w:link w:val="5"/>
    <w:qFormat/>
    <w:uiPriority w:val="99"/>
    <w:rPr>
      <w:rFonts w:ascii="Calibri" w:hAnsi="Calibri" w:eastAsia="宋体" w:cs="Times New Roman"/>
      <w:sz w:val="18"/>
      <w:szCs w:val="18"/>
    </w:rPr>
  </w:style>
  <w:style w:type="character" w:customStyle="1" w:styleId="18">
    <w:name w:val="批注框文本 字符"/>
    <w:basedOn w:val="11"/>
    <w:link w:val="4"/>
    <w:semiHidden/>
    <w:qFormat/>
    <w:uiPriority w:val="99"/>
    <w:rPr>
      <w:rFonts w:ascii="Calibri" w:hAnsi="Calibri" w:eastAsia="宋体" w:cs="Times New Roman"/>
      <w:sz w:val="18"/>
      <w:szCs w:val="18"/>
    </w:rPr>
  </w:style>
  <w:style w:type="character" w:customStyle="1" w:styleId="19">
    <w:name w:val="批注文字 字符"/>
    <w:basedOn w:val="11"/>
    <w:link w:val="3"/>
    <w:semiHidden/>
    <w:qFormat/>
    <w:uiPriority w:val="99"/>
    <w:rPr>
      <w:rFonts w:ascii="Calibri" w:hAnsi="Calibri"/>
      <w:kern w:val="2"/>
      <w:sz w:val="21"/>
      <w:szCs w:val="22"/>
    </w:rPr>
  </w:style>
  <w:style w:type="character" w:customStyle="1" w:styleId="20">
    <w:name w:val="批注主题 字符"/>
    <w:basedOn w:val="19"/>
    <w:link w:val="8"/>
    <w:semiHidden/>
    <w:qFormat/>
    <w:uiPriority w:val="99"/>
    <w:rPr>
      <w:rFonts w:ascii="Calibri" w:hAnsi="Calibri"/>
      <w:b/>
      <w:bCs/>
      <w:kern w:val="2"/>
      <w:sz w:val="21"/>
      <w:szCs w:val="22"/>
    </w:rPr>
  </w:style>
  <w:style w:type="paragraph" w:customStyle="1" w:styleId="21">
    <w:name w:val="修订1"/>
    <w:hidden/>
    <w:semiHidden/>
    <w:qFormat/>
    <w:uiPriority w:val="99"/>
    <w:rPr>
      <w:rFonts w:ascii="Calibri" w:hAnsi="Calibri" w:eastAsia="宋体" w:cs="Times New Roman"/>
      <w:kern w:val="2"/>
      <w:sz w:val="21"/>
      <w:szCs w:val="22"/>
      <w:lang w:val="en-US" w:eastAsia="zh-CN" w:bidi="ar-SA"/>
    </w:rPr>
  </w:style>
  <w:style w:type="paragraph" w:styleId="22">
    <w:name w:val="List Paragraph"/>
    <w:basedOn w:val="1"/>
    <w:qFormat/>
    <w:uiPriority w:val="99"/>
    <w:pPr>
      <w:ind w:firstLine="420" w:firstLineChars="200"/>
    </w:pPr>
  </w:style>
  <w:style w:type="paragraph" w:customStyle="1" w:styleId="23">
    <w:name w:val="修订2"/>
    <w:hidden/>
    <w:semiHidden/>
    <w:qFormat/>
    <w:uiPriority w:val="99"/>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自定义 1">
      <a:majorFont>
        <a:latin typeface="Times New Roman"/>
        <a:ea typeface="方正小标宋简体"/>
        <a:cs typeface=""/>
      </a:majorFont>
      <a:minorFont>
        <a:latin typeface="Times New Roman"/>
        <a:ea typeface="仿宋_GB2312"/>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standalone='no'?>
<b:Sources xmlns:b="http://schemas.openxmlformats.org/officeDocument/2006/bibliography" SelectedStyle="\APASixthEditionOfficeOnline.xsl" StyleName="APA" Version="6" xmlns:b="http://schemas.openxmlformats.org/officeDocument/2006/bibliography"/>

</file>

<file path=customXml/itemProps1.xml><?xml version="1.0" encoding="utf-8"?>
<ds:datastoreItem xmlns:ds="http://schemas.openxmlformats.org/officeDocument/2006/customXml" ds:itemID="{76D4D59F-FFC0-4CA4-8F20-1F36BC520C42}">
  <ds:schemaRefs/>
</ds:datastoreItem>
</file>

<file path=docProps/app.xml><?xml version="1.0" encoding="utf-8"?>
<Properties xmlns="http://schemas.openxmlformats.org/officeDocument/2006/extended-properties" xmlns:vt="http://schemas.openxmlformats.org/officeDocument/2006/docPropsVTypes">
  <Company>scut</Company>
  <Pages>10</Pages>
  <Words>8829</Words>
  <Characters>9042</Characters>
  <Lines>66</Lines>
  <Paragraphs>18</Paragraphs>
  <TotalTime>106</TotalTime>
  <ScaleCrop>false</ScaleCrop>
  <LinksUpToDate>false</LinksUpToDate>
  <CharactersWithSpaces>9042</CharactersWithSpaces>
  <Application>WPS Office WWO_wpscloud_20250305175527-00de7ca4b2</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2023-06-28T10:52:00Z</dcterms:created>
  <dc:creator>saking</dc:creator>
  <cp:lastModifiedBy>wm</cp:lastModifiedBy>
  <cp:lastPrinted>2023-06-28T10:53:00Z</cp:lastPrinted>
  <dcterms:modified xsi:type="dcterms:W3CDTF">2025-03-18T15:22:17Z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2052-12.9.0.20326</vt:lpwstr>
  </property>
  <property fmtid="{D5CDD505-2E9C-101B-9397-08002B2CF9AE}" pid="3" name="ICV">
    <vt:lpwstr>AE48EB189BADD36B291FD96742EC4675_43</vt:lpwstr>
  </property>
</Properties>
</file>