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EFE47">
      <w:pPr>
        <w:spacing w:line="560" w:lineRule="exact"/>
        <w:ind w:right="522"/>
        <w:rPr>
          <w:rFonts w:hint="eastAsia" w:ascii="仿宋" w:hAnsi="仿宋" w:eastAsia="仿宋" w:cs="仿宋"/>
          <w:spacing w:val="12"/>
          <w:sz w:val="32"/>
          <w:szCs w:val="32"/>
        </w:rPr>
      </w:pPr>
      <w:r>
        <w:rPr>
          <w:rFonts w:hint="eastAsia" w:ascii="仿宋" w:hAnsi="仿宋" w:eastAsia="仿宋" w:cs="仿宋"/>
          <w:spacing w:val="12"/>
          <w:sz w:val="32"/>
          <w:szCs w:val="32"/>
        </w:rPr>
        <w:t>附件1：</w:t>
      </w:r>
    </w:p>
    <w:p w14:paraId="3DED5224">
      <w:pPr>
        <w:pStyle w:val="2"/>
        <w:bidi w:val="0"/>
      </w:pPr>
      <w:r>
        <w:rPr>
          <w:rFonts w:hint="eastAsia"/>
        </w:rPr>
        <w:t>暨南大学珠海校区第</w:t>
      </w:r>
      <w:r>
        <w:rPr>
          <w:rFonts w:hint="eastAsia"/>
          <w:lang w:val="en-US" w:eastAsia="zh-CN"/>
        </w:rPr>
        <w:t>四</w:t>
      </w:r>
      <w:r>
        <w:rPr>
          <w:rFonts w:hint="eastAsia"/>
        </w:rPr>
        <w:t>届“</w:t>
      </w:r>
      <w:r>
        <w:rPr>
          <w:rFonts w:hint="eastAsia"/>
          <w:lang w:val="en-US" w:eastAsia="zh-CN"/>
        </w:rPr>
        <w:t>梦想杯</w:t>
      </w:r>
      <w:r>
        <w:rPr>
          <w:rFonts w:hint="eastAsia"/>
        </w:rPr>
        <w:t>”创新创业大赛</w:t>
      </w:r>
      <w:r>
        <w:t>高教主赛道方案</w:t>
      </w:r>
    </w:p>
    <w:p w14:paraId="7E7F0D52"/>
    <w:p w14:paraId="5CA67EC7">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暨南大学珠海校区第</w:t>
      </w:r>
      <w:r>
        <w:rPr>
          <w:rFonts w:hint="eastAsia" w:ascii="仿宋" w:hAnsi="仿宋" w:eastAsia="仿宋" w:cs="仿宋"/>
          <w:spacing w:val="2"/>
          <w:sz w:val="32"/>
          <w:szCs w:val="32"/>
          <w:lang w:val="en-US" w:eastAsia="zh-CN"/>
        </w:rPr>
        <w:t>四</w:t>
      </w:r>
      <w:r>
        <w:rPr>
          <w:rFonts w:hint="eastAsia" w:ascii="仿宋" w:hAnsi="仿宋" w:eastAsia="仿宋" w:cs="仿宋"/>
          <w:spacing w:val="2"/>
          <w:sz w:val="32"/>
          <w:szCs w:val="32"/>
        </w:rPr>
        <w:t>届“</w:t>
      </w:r>
      <w:r>
        <w:rPr>
          <w:rFonts w:hint="eastAsia" w:ascii="仿宋" w:hAnsi="仿宋" w:eastAsia="仿宋" w:cs="仿宋"/>
          <w:spacing w:val="2"/>
          <w:sz w:val="32"/>
          <w:szCs w:val="32"/>
          <w:lang w:val="en-US" w:eastAsia="zh-CN"/>
        </w:rPr>
        <w:t>梦想杯</w:t>
      </w:r>
      <w:r>
        <w:rPr>
          <w:rFonts w:hint="eastAsia" w:ascii="仿宋" w:hAnsi="仿宋" w:eastAsia="仿宋" w:cs="仿宋"/>
          <w:spacing w:val="2"/>
          <w:sz w:val="32"/>
          <w:szCs w:val="32"/>
        </w:rPr>
        <w:t>”创新创业大赛设高教主赛道</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具体实施方案如下。</w:t>
      </w:r>
    </w:p>
    <w:p w14:paraId="5949324B">
      <w:pPr>
        <w:pStyle w:val="3"/>
      </w:pPr>
      <w:r>
        <w:rPr>
          <w:rFonts w:hint="eastAsia"/>
        </w:rPr>
        <w:t>一、参赛项目类型</w:t>
      </w:r>
    </w:p>
    <w:p w14:paraId="1D7F52F3">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(一)新工科类项目：大数据、云计算、人工智能、区块链、虚拟现实、智能制造、网络空间安全、机器人工程、工业自动化、新材料等领域，符合新工科建设理念和要求的项目；</w:t>
      </w:r>
    </w:p>
    <w:p w14:paraId="6E24D7A2">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(二)新医科类项目：现代医疗技术、智能医疗设备、新药研发、健康康养、食药保健、智能医学、生物技术、生物材料等领域，符合新医科建设理念和要求的项目</w:t>
      </w:r>
    </w:p>
    <w:p w14:paraId="0C42456F">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(三)新农科类项目：现代种业、智慧农业、智能农机装备、农业大数据、食品营养、休闲农业、森林康养、生态修复、农业碳汇等领域，符合新农科建设理念和要求的项目；</w:t>
      </w:r>
    </w:p>
    <w:p w14:paraId="17E48337">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14:paraId="6B973535">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(五)“人工智能+”项目：聚焦于人工智能深度融合经济社会各领域发展、赋能千行百业智能化转型升级，符合“人工智能+”发展理念和要求的项目。</w:t>
      </w:r>
    </w:p>
    <w:p w14:paraId="7832606B">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参赛项目团队应认真了解和把握新质生产力的内涵及要求，结合以上分类及项目实际，合理选择参赛项目类别， 根据 “四新”“人工智能+”建设内涵和产业发展方向选择 相应类型。</w:t>
      </w:r>
    </w:p>
    <w:p w14:paraId="4500BB3C">
      <w:pPr>
        <w:pStyle w:val="3"/>
      </w:pPr>
      <w:r>
        <w:rPr>
          <w:rFonts w:hint="eastAsia"/>
        </w:rPr>
        <w:t>二、参赛方式和要求</w:t>
      </w:r>
    </w:p>
    <w:p w14:paraId="116CBF1F">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1.大赛以团队为单位报名参赛。允许跨</w:t>
      </w:r>
      <w:r>
        <w:rPr>
          <w:rFonts w:hint="eastAsia" w:ascii="仿宋" w:hAnsi="仿宋" w:eastAsia="仿宋" w:cs="仿宋"/>
          <w:spacing w:val="2"/>
          <w:sz w:val="32"/>
          <w:szCs w:val="32"/>
          <w:lang w:val="en-US" w:eastAsia="zh-CN"/>
        </w:rPr>
        <w:t>校区、跨校组建团队，但项目团队负责人必须是珠海校区所属学院学生。</w:t>
      </w:r>
      <w:r>
        <w:rPr>
          <w:rFonts w:hint="eastAsia" w:ascii="仿宋" w:hAnsi="仿宋" w:eastAsia="仿宋" w:cs="仿宋"/>
          <w:spacing w:val="2"/>
          <w:sz w:val="32"/>
          <w:szCs w:val="32"/>
        </w:rPr>
        <w:t>每个团队的参赛成员不少于3人，原则上不多于8人(含团队负责人)，须为项目的实际核心成员。参赛团队所报参赛创业项目，须为本团队策划或经营的项目，不得借用他人项目参赛。</w:t>
      </w:r>
    </w:p>
    <w:p w14:paraId="7138C957">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2.根据项目参赛团队负责人所在学院或项目第一指导老师所在学院确定参赛团队所代表的参赛单位，且代表的参赛单位具有唯一性。</w:t>
      </w:r>
    </w:p>
    <w:p w14:paraId="29ED38DE">
      <w:pPr>
        <w:spacing w:line="560" w:lineRule="exact"/>
        <w:ind w:firstLine="648" w:firstLineChars="200"/>
        <w:rPr>
          <w:rFonts w:hint="eastAsia" w:ascii="仿宋" w:hAnsi="仿宋" w:eastAsia="仿宋" w:cs="仿宋"/>
          <w:spacing w:val="2"/>
          <w:sz w:val="32"/>
          <w:szCs w:val="32"/>
          <w:lang w:eastAsia="zh"/>
          <w:woUserID w:val="1"/>
        </w:rPr>
      </w:pPr>
      <w:r>
        <w:rPr>
          <w:rFonts w:hint="eastAsia" w:ascii="仿宋" w:hAnsi="仿宋" w:eastAsia="仿宋" w:cs="仿宋"/>
          <w:spacing w:val="2"/>
          <w:sz w:val="32"/>
          <w:szCs w:val="32"/>
        </w:rPr>
        <w:t>3.参赛项目不得含有任何违反《中华人民共和国宪法》及其他法律、法规的内容。须尊重中国文化，符合公序良俗</w:t>
      </w:r>
      <w:r>
        <w:rPr>
          <w:rFonts w:hint="eastAsia" w:ascii="仿宋" w:hAnsi="仿宋" w:eastAsia="仿宋" w:cs="仿宋"/>
          <w:spacing w:val="2"/>
          <w:sz w:val="32"/>
          <w:szCs w:val="32"/>
          <w:lang w:eastAsia="zh"/>
          <w:woUserID w:val="1"/>
        </w:rPr>
        <w:t>。</w:t>
      </w:r>
    </w:p>
    <w:p w14:paraId="24F4DF0C">
      <w:pPr>
        <w:pStyle w:val="3"/>
      </w:pPr>
      <w:r>
        <w:rPr>
          <w:rFonts w:hint="eastAsia"/>
        </w:rPr>
        <w:t>三、参赛对象</w:t>
      </w:r>
    </w:p>
    <w:p w14:paraId="584C5C64">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参赛申报人须为团队负责人，团队负责人及成员均为我校全日制在校本科生</w:t>
      </w:r>
      <w:r>
        <w:rPr>
          <w:rFonts w:hint="eastAsia" w:ascii="仿宋" w:hAnsi="仿宋" w:eastAsia="仿宋" w:cs="仿宋"/>
          <w:spacing w:val="2"/>
          <w:sz w:val="32"/>
          <w:szCs w:val="32"/>
          <w:lang w:val="en-US" w:eastAsia="zh-CN"/>
        </w:rPr>
        <w:t>或研究生</w:t>
      </w:r>
      <w:r>
        <w:rPr>
          <w:rFonts w:hint="eastAsia" w:ascii="仿宋" w:hAnsi="仿宋" w:eastAsia="仿宋" w:cs="仿宋"/>
          <w:spacing w:val="2"/>
          <w:sz w:val="32"/>
          <w:szCs w:val="32"/>
        </w:rPr>
        <w:t>。</w:t>
      </w:r>
    </w:p>
    <w:p w14:paraId="0F353987">
      <w:pPr>
        <w:pStyle w:val="3"/>
      </w:pPr>
      <w:r>
        <w:rPr>
          <w:rFonts w:hint="eastAsia"/>
        </w:rPr>
        <w:t>四、比赛赛制</w:t>
      </w:r>
    </w:p>
    <w:p w14:paraId="7BB16493">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本赛道所有组别采用初赛、复赛和决赛三级赛制，统一评审。</w:t>
      </w:r>
    </w:p>
    <w:p w14:paraId="5E2B4C6D">
      <w:pPr>
        <w:pStyle w:val="3"/>
      </w:pPr>
      <w:r>
        <w:rPr>
          <w:rFonts w:hint="eastAsia"/>
        </w:rPr>
        <w:t>五、奖项设置</w:t>
      </w:r>
    </w:p>
    <w:p w14:paraId="769B6140">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本赛道与“青年红色筑梦之旅”赛道</w:t>
      </w:r>
      <w:r>
        <w:rPr>
          <w:rFonts w:hint="eastAsia" w:ascii="仿宋" w:hAnsi="仿宋" w:eastAsia="仿宋" w:cs="仿宋"/>
          <w:spacing w:val="2"/>
          <w:sz w:val="32"/>
          <w:szCs w:val="32"/>
          <w:lang w:val="en-US" w:eastAsia="zh-CN"/>
        </w:rPr>
        <w:t>共同</w:t>
      </w:r>
      <w:r>
        <w:rPr>
          <w:rFonts w:hint="eastAsia" w:ascii="仿宋" w:hAnsi="仿宋" w:eastAsia="仿宋" w:cs="仿宋"/>
          <w:spacing w:val="2"/>
          <w:sz w:val="32"/>
          <w:szCs w:val="32"/>
        </w:rPr>
        <w:t>设置</w:t>
      </w:r>
      <w:r>
        <w:rPr>
          <w:rFonts w:hint="eastAsia" w:ascii="仿宋" w:hAnsi="仿宋" w:eastAsia="仿宋" w:cs="仿宋"/>
          <w:spacing w:val="2"/>
          <w:sz w:val="32"/>
          <w:szCs w:val="32"/>
          <w:lang w:val="en-US" w:eastAsia="zh-CN"/>
        </w:rPr>
        <w:t>奖项，包括</w:t>
      </w:r>
      <w:r>
        <w:rPr>
          <w:rFonts w:hint="eastAsia" w:ascii="仿宋" w:hAnsi="仿宋" w:eastAsia="仿宋" w:cs="仿宋"/>
          <w:spacing w:val="2"/>
          <w:sz w:val="32"/>
          <w:szCs w:val="32"/>
        </w:rPr>
        <w:t>一等奖2个、二等奖4个、三等奖6个、优秀奖若干个；另设优秀组织奖和优秀创新创业导师</w:t>
      </w:r>
      <w:r>
        <w:rPr>
          <w:rFonts w:hint="eastAsia" w:ascii="仿宋" w:hAnsi="仿宋" w:eastAsia="仿宋" w:cs="仿宋"/>
          <w:spacing w:val="2"/>
          <w:sz w:val="32"/>
          <w:szCs w:val="32"/>
          <w:lang w:val="en-US" w:eastAsia="zh-CN"/>
        </w:rPr>
        <w:t>奖</w:t>
      </w:r>
      <w:r>
        <w:rPr>
          <w:rFonts w:hint="eastAsia" w:ascii="仿宋" w:hAnsi="仿宋" w:eastAsia="仿宋" w:cs="仿宋"/>
          <w:spacing w:val="2"/>
          <w:sz w:val="32"/>
          <w:szCs w:val="32"/>
        </w:rPr>
        <w:t>。</w:t>
      </w:r>
    </w:p>
    <w:p w14:paraId="0663896F">
      <w:pPr>
        <w:pStyle w:val="3"/>
      </w:pPr>
      <w:r>
        <w:rPr>
          <w:rFonts w:hint="eastAsia"/>
        </w:rPr>
        <w:t>六、其他</w:t>
      </w:r>
    </w:p>
    <w:p w14:paraId="4D8EBC0D">
      <w:pPr>
        <w:spacing w:line="560" w:lineRule="exact"/>
        <w:ind w:firstLine="648" w:firstLineChars="200"/>
        <w:rPr>
          <w:rFonts w:ascii="仿宋" w:hAnsi="仿宋" w:eastAsia="仿宋" w:cs="仿宋"/>
          <w:spacing w:val="2"/>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pacing w:val="2"/>
          <w:sz w:val="32"/>
          <w:szCs w:val="32"/>
        </w:rPr>
        <w:t>本附件所涉及条款的最终解释权归</w:t>
      </w:r>
      <w:r>
        <w:rPr>
          <w:rFonts w:hint="eastAsia" w:ascii="仿宋" w:hAnsi="仿宋" w:eastAsia="仿宋" w:cs="仿宋"/>
          <w:spacing w:val="2"/>
          <w:sz w:val="32"/>
          <w:szCs w:val="32"/>
          <w:lang w:val="en-US" w:eastAsia="zh-CN"/>
        </w:rPr>
        <w:t>创业实验室所有。</w:t>
      </w:r>
    </w:p>
    <w:p w14:paraId="785E6945">
      <w:pPr>
        <w:pStyle w:val="2"/>
        <w:bidi w:val="0"/>
      </w:pPr>
      <w:r>
        <w:rPr>
          <w:rFonts w:hint="eastAsia"/>
        </w:rPr>
        <w:t>暨南大学珠海校区第</w:t>
      </w:r>
      <w:r>
        <w:rPr>
          <w:rFonts w:hint="eastAsia"/>
          <w:lang w:val="en-US" w:eastAsia="zh-CN"/>
        </w:rPr>
        <w:t>四</w:t>
      </w:r>
      <w:r>
        <w:rPr>
          <w:rFonts w:hint="eastAsia"/>
        </w:rPr>
        <w:t>届“</w:t>
      </w:r>
      <w:r>
        <w:rPr>
          <w:rFonts w:hint="eastAsia"/>
          <w:lang w:val="en-US" w:eastAsia="zh-CN"/>
        </w:rPr>
        <w:t>梦想杯</w:t>
      </w:r>
      <w:r>
        <w:rPr>
          <w:rFonts w:hint="eastAsia"/>
        </w:rPr>
        <w:t>”创新创业大赛“青年红色筑梦之旅”</w:t>
      </w:r>
      <w:r>
        <w:t>赛道方案</w:t>
      </w:r>
    </w:p>
    <w:p w14:paraId="4473B550"/>
    <w:p w14:paraId="41ECFBFB">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暨南大学珠海校区第</w:t>
      </w:r>
      <w:r>
        <w:rPr>
          <w:rFonts w:hint="eastAsia" w:ascii="仿宋" w:hAnsi="仿宋" w:eastAsia="仿宋" w:cs="仿宋"/>
          <w:spacing w:val="2"/>
          <w:sz w:val="32"/>
          <w:szCs w:val="32"/>
          <w:lang w:val="en-US" w:eastAsia="zh-CN"/>
        </w:rPr>
        <w:t>四</w:t>
      </w:r>
      <w:r>
        <w:rPr>
          <w:rFonts w:hint="eastAsia" w:ascii="仿宋" w:hAnsi="仿宋" w:eastAsia="仿宋" w:cs="仿宋"/>
          <w:spacing w:val="2"/>
          <w:sz w:val="32"/>
          <w:szCs w:val="32"/>
        </w:rPr>
        <w:t>届“</w:t>
      </w:r>
      <w:r>
        <w:rPr>
          <w:rFonts w:hint="eastAsia" w:ascii="仿宋" w:hAnsi="仿宋" w:eastAsia="仿宋" w:cs="仿宋"/>
          <w:spacing w:val="2"/>
          <w:sz w:val="32"/>
          <w:szCs w:val="32"/>
          <w:lang w:val="en-US" w:eastAsia="zh-CN"/>
        </w:rPr>
        <w:t>梦想杯</w:t>
      </w:r>
      <w:r>
        <w:rPr>
          <w:rFonts w:hint="eastAsia" w:ascii="仿宋" w:hAnsi="仿宋" w:eastAsia="仿宋" w:cs="仿宋"/>
          <w:spacing w:val="2"/>
          <w:sz w:val="32"/>
          <w:szCs w:val="32"/>
        </w:rPr>
        <w:t>”创新创业大赛</w:t>
      </w:r>
      <w:r>
        <w:rPr>
          <w:rFonts w:hint="eastAsia" w:ascii="仿宋_GB2312" w:eastAsia="仿宋_GB2312"/>
          <w:sz w:val="32"/>
          <w:szCs w:val="32"/>
        </w:rPr>
        <w:t>设“青年红色筑梦之旅”赛道。</w:t>
      </w:r>
      <w:r>
        <w:rPr>
          <w:rFonts w:hint="eastAsia" w:ascii="仿宋_GB2312" w:eastAsia="仿宋_GB2312"/>
          <w:sz w:val="32"/>
          <w:szCs w:val="32"/>
          <w:lang w:val="en-US" w:eastAsia="zh-CN"/>
        </w:rPr>
        <w:t>鼓励大学生</w:t>
      </w:r>
      <w:r>
        <w:rPr>
          <w:rFonts w:hint="eastAsia" w:ascii="仿宋_GB2312" w:eastAsia="仿宋_GB2312"/>
          <w:sz w:val="32"/>
          <w:szCs w:val="32"/>
        </w:rPr>
        <w:t>继续在更大范围、更高层次、更有温度、更深程度上开展“青年红色筑梦之旅”活动。具体方案如下。</w:t>
      </w:r>
    </w:p>
    <w:p w14:paraId="20B9B2E1">
      <w:pPr>
        <w:pStyle w:val="3"/>
      </w:pPr>
      <w:r>
        <w:rPr>
          <w:rFonts w:hint="eastAsia"/>
          <w:lang w:val="en-US" w:eastAsia="zh-CN"/>
        </w:rPr>
        <w:t>一</w:t>
      </w:r>
      <w:r>
        <w:rPr>
          <w:rFonts w:hint="eastAsia"/>
        </w:rPr>
        <w:t>、主要目标</w:t>
      </w:r>
    </w:p>
    <w:p w14:paraId="5D39627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firstLine="648" w:firstLineChars="200"/>
        <w:textAlignment w:val="baseline"/>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不断拓展“青年红色筑梦之旅”活动的时代内涵，推动习近平新时代中国特色社会主义思想入眼入耳入脑入心，使广大青年学生深刻领悟“两个确立”的决定性意义</w:t>
      </w:r>
      <w:r>
        <w:rPr>
          <w:rFonts w:hint="eastAsia" w:cs="仿宋"/>
          <w:snapToGrid w:val="0"/>
          <w:color w:val="000000"/>
          <w:spacing w:val="2"/>
          <w:sz w:val="32"/>
          <w:szCs w:val="32"/>
          <w:lang w:val="en-US" w:eastAsia="zh" w:bidi="ar-SA"/>
          <w:woUserID w:val="1"/>
        </w:rPr>
        <w:t>。</w:t>
      </w:r>
      <w:r>
        <w:rPr>
          <w:rFonts w:hint="eastAsia" w:ascii="仿宋" w:hAnsi="仿宋" w:eastAsia="仿宋" w:cs="仿宋"/>
          <w:snapToGrid w:val="0"/>
          <w:color w:val="000000"/>
          <w:spacing w:val="2"/>
          <w:sz w:val="32"/>
          <w:szCs w:val="32"/>
          <w:lang w:val="en-US" w:eastAsia="zh-CN" w:bidi="ar-SA"/>
        </w:rPr>
        <w:t>自觉增强“四个意识”,坚决做到“两个维护”</w:t>
      </w:r>
      <w:r>
        <w:rPr>
          <w:rFonts w:hint="eastAsia" w:cs="仿宋"/>
          <w:snapToGrid w:val="0"/>
          <w:color w:val="000000"/>
          <w:spacing w:val="2"/>
          <w:sz w:val="32"/>
          <w:szCs w:val="32"/>
          <w:lang w:val="en-US" w:eastAsia="zh" w:bidi="ar-SA"/>
          <w:woUserID w:val="1"/>
        </w:rPr>
        <w:t>。</w:t>
      </w:r>
      <w:bookmarkStart w:id="0" w:name="_GoBack"/>
      <w:bookmarkEnd w:id="0"/>
      <w:r>
        <w:rPr>
          <w:rFonts w:hint="eastAsia" w:ascii="仿宋" w:hAnsi="仿宋" w:eastAsia="仿宋" w:cs="仿宋"/>
          <w:snapToGrid w:val="0"/>
          <w:color w:val="000000"/>
          <w:spacing w:val="2"/>
          <w:sz w:val="32"/>
          <w:szCs w:val="32"/>
          <w:lang w:val="en-US" w:eastAsia="zh-CN" w:bidi="ar-SA"/>
        </w:rPr>
        <w:t>坚定不移听党话、跟党走，厚植家国情怀、扎根中国大地，用创新实践服务国家、服务人民，将个人奋斗融入强国建设、民族复兴伟业，成为社会主义合格建设者和可靠接班人，为全面建设社会主义现代化国家贡献青春力量</w:t>
      </w:r>
      <w:r>
        <w:rPr>
          <w:rFonts w:hint="eastAsia" w:cs="仿宋"/>
          <w:snapToGrid w:val="0"/>
          <w:color w:val="000000"/>
          <w:spacing w:val="2"/>
          <w:sz w:val="32"/>
          <w:szCs w:val="32"/>
          <w:lang w:val="en-US" w:eastAsia="zh-CN" w:bidi="ar-SA"/>
        </w:rPr>
        <w:t>。</w:t>
      </w:r>
    </w:p>
    <w:p w14:paraId="69C83A56">
      <w:pPr>
        <w:pStyle w:val="3"/>
      </w:pPr>
      <w:r>
        <w:rPr>
          <w:rFonts w:hint="eastAsia"/>
          <w:lang w:val="en-US" w:eastAsia="zh-CN"/>
        </w:rPr>
        <w:t>二</w:t>
      </w:r>
      <w:r>
        <w:rPr>
          <w:rFonts w:hint="eastAsia"/>
        </w:rPr>
        <w:t>、参赛项目要求</w:t>
      </w:r>
    </w:p>
    <w:p w14:paraId="494DAA89">
      <w:pPr>
        <w:spacing w:line="560" w:lineRule="exact"/>
        <w:ind w:firstLine="648" w:firstLineChars="200"/>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1.参加“青年红色筑梦之旅”赛道的项目应符合大赛参赛项目要求，同时在推进农业农村、城乡社区经济社会发展等方面有创新性、实效性和可持续性。</w:t>
      </w:r>
    </w:p>
    <w:p w14:paraId="0E7EFF7A">
      <w:pPr>
        <w:spacing w:line="560" w:lineRule="exact"/>
        <w:ind w:firstLine="648" w:firstLineChars="200"/>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2.以团队为单位报名参赛。允许跨校区、跨校组建团队，但项目团队负责人必须是珠海校区所属学院学生。每个团队的参赛成员不少于3人，原则上不多于8人（含团队负责人），须为项目的实际核心成员。参赛团队所报参赛创业项目，须为本团队策划或经营的项目，不得借用他人项目参赛。</w:t>
      </w:r>
    </w:p>
    <w:p w14:paraId="21E3035C">
      <w:pPr>
        <w:spacing w:line="560" w:lineRule="exact"/>
        <w:ind w:firstLine="648" w:firstLineChars="200"/>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3.参赛申报人须为项目实际负责人，须为普通高等学校全日制在校生（包括本科生、研究生，不含在职教育），或毕业5年以内的学生（即2019年之后的毕业生，不含在职教育）。企业法定代表人在大赛通知发布之日后进行变更的不予认可。</w:t>
      </w:r>
    </w:p>
    <w:p w14:paraId="68D05426">
      <w:pPr>
        <w:pStyle w:val="3"/>
      </w:pPr>
      <w:r>
        <w:rPr>
          <w:rFonts w:hint="eastAsia"/>
          <w:lang w:val="en-US" w:eastAsia="zh-CN"/>
        </w:rPr>
        <w:t>三</w:t>
      </w:r>
      <w:r>
        <w:rPr>
          <w:rFonts w:hint="eastAsia"/>
        </w:rPr>
        <w:t>、比赛赛制</w:t>
      </w:r>
    </w:p>
    <w:p w14:paraId="335566F6">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本赛道采用初赛、复赛和决赛三级赛制，统一评审，不单独设置组别。</w:t>
      </w:r>
    </w:p>
    <w:p w14:paraId="0F4353C5">
      <w:pPr>
        <w:pStyle w:val="3"/>
      </w:pPr>
      <w:r>
        <w:rPr>
          <w:rFonts w:hint="eastAsia"/>
          <w:lang w:val="en-US" w:eastAsia="zh-CN"/>
        </w:rPr>
        <w:t>四</w:t>
      </w:r>
      <w:r>
        <w:rPr>
          <w:rFonts w:hint="eastAsia"/>
        </w:rPr>
        <w:t>、奖项设置</w:t>
      </w:r>
    </w:p>
    <w:p w14:paraId="56870549">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本赛道与高教主题赛道</w:t>
      </w:r>
      <w:r>
        <w:rPr>
          <w:rFonts w:hint="eastAsia" w:ascii="仿宋" w:hAnsi="仿宋" w:eastAsia="仿宋" w:cs="仿宋"/>
          <w:spacing w:val="2"/>
          <w:sz w:val="32"/>
          <w:szCs w:val="32"/>
          <w:lang w:val="en-US" w:eastAsia="zh-CN"/>
        </w:rPr>
        <w:t>共同设立奖项，包括</w:t>
      </w:r>
      <w:r>
        <w:rPr>
          <w:rFonts w:hint="eastAsia" w:ascii="仿宋" w:hAnsi="仿宋" w:eastAsia="仿宋" w:cs="仿宋"/>
          <w:spacing w:val="2"/>
          <w:sz w:val="32"/>
          <w:szCs w:val="32"/>
        </w:rPr>
        <w:t>一等奖2个、二等奖4个、三等奖6个、优秀奖若干个；另设优秀组织奖和优秀创新创业导师</w:t>
      </w:r>
      <w:r>
        <w:rPr>
          <w:rFonts w:hint="eastAsia" w:ascii="仿宋" w:hAnsi="仿宋" w:eastAsia="仿宋" w:cs="仿宋"/>
          <w:spacing w:val="2"/>
          <w:sz w:val="32"/>
          <w:szCs w:val="32"/>
          <w:lang w:val="en-US" w:eastAsia="zh-CN"/>
        </w:rPr>
        <w:t>奖</w:t>
      </w:r>
      <w:r>
        <w:rPr>
          <w:rFonts w:hint="eastAsia" w:ascii="仿宋" w:hAnsi="仿宋" w:eastAsia="仿宋" w:cs="仿宋"/>
          <w:spacing w:val="2"/>
          <w:sz w:val="32"/>
          <w:szCs w:val="32"/>
        </w:rPr>
        <w:t>。</w:t>
      </w:r>
    </w:p>
    <w:p w14:paraId="6E9598F7">
      <w:pPr>
        <w:pStyle w:val="3"/>
      </w:pPr>
      <w:r>
        <w:rPr>
          <w:rFonts w:hint="eastAsia"/>
          <w:lang w:val="en-US" w:eastAsia="zh-CN"/>
        </w:rPr>
        <w:t>五</w:t>
      </w:r>
      <w:r>
        <w:rPr>
          <w:rFonts w:hint="eastAsia"/>
        </w:rPr>
        <w:t>、其他</w:t>
      </w:r>
    </w:p>
    <w:p w14:paraId="0055C38A">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本附件所涉及条款的最终解释权归创业实验室所有。</w:t>
      </w:r>
    </w:p>
    <w:p w14:paraId="5EEFC8E8">
      <w:pPr>
        <w:spacing w:line="560" w:lineRule="exact"/>
        <w:ind w:firstLine="648" w:firstLineChars="200"/>
        <w:rPr>
          <w:rFonts w:ascii="仿宋" w:hAnsi="仿宋" w:eastAsia="仿宋" w:cs="仿宋"/>
          <w:spacing w:val="2"/>
          <w:sz w:val="32"/>
          <w:szCs w:val="32"/>
        </w:rPr>
      </w:pPr>
    </w:p>
    <w:p w14:paraId="3BF0E9AD">
      <w:pPr>
        <w:spacing w:line="560" w:lineRule="exact"/>
        <w:ind w:firstLine="648" w:firstLineChars="200"/>
        <w:rPr>
          <w:rFonts w:ascii="仿宋" w:hAnsi="仿宋" w:eastAsia="仿宋" w:cs="仿宋"/>
          <w:spacing w:val="2"/>
          <w:sz w:val="32"/>
          <w:szCs w:val="32"/>
        </w:rPr>
      </w:pPr>
    </w:p>
    <w:p w14:paraId="5CE5B10F">
      <w:pPr>
        <w:spacing w:line="560" w:lineRule="exact"/>
        <w:ind w:firstLine="648" w:firstLineChars="200"/>
        <w:rPr>
          <w:rFonts w:ascii="仿宋" w:hAnsi="仿宋" w:eastAsia="仿宋" w:cs="仿宋"/>
          <w:spacing w:val="2"/>
          <w:sz w:val="32"/>
          <w:szCs w:val="32"/>
        </w:rPr>
      </w:pPr>
    </w:p>
    <w:p w14:paraId="4A77F61C">
      <w:pPr>
        <w:spacing w:line="560" w:lineRule="exact"/>
        <w:rPr>
          <w:rFonts w:ascii="仿宋" w:hAnsi="仿宋" w:eastAsia="仿宋" w:cs="仿宋"/>
          <w:spacing w:val="2"/>
          <w:sz w:val="24"/>
          <w:szCs w:val="24"/>
        </w:rPr>
      </w:pPr>
    </w:p>
    <w:p w14:paraId="1DCEC0BE">
      <w:pPr>
        <w:pStyle w:val="2"/>
        <w:bidi w:val="0"/>
        <w:rPr>
          <w:rFonts w:hint="eastAsia" w:ascii="仿宋" w:hAnsi="仿宋" w:eastAsia="仿宋" w:cs="仿宋"/>
          <w:spacing w:val="2"/>
          <w:sz w:val="32"/>
          <w:szCs w:val="32"/>
        </w:rPr>
      </w:pPr>
      <w:r>
        <w:rPr>
          <w:rFonts w:hint="eastAsia"/>
        </w:rPr>
        <w:t>暨南大学珠海校区第</w:t>
      </w:r>
      <w:r>
        <w:rPr>
          <w:rFonts w:hint="eastAsia"/>
          <w:lang w:val="en-US" w:eastAsia="zh-CN"/>
        </w:rPr>
        <w:t>四</w:t>
      </w:r>
      <w:r>
        <w:rPr>
          <w:rFonts w:hint="eastAsia"/>
        </w:rPr>
        <w:t>届“</w:t>
      </w:r>
      <w:r>
        <w:rPr>
          <w:rFonts w:hint="eastAsia"/>
          <w:lang w:val="en-US" w:eastAsia="zh-CN"/>
        </w:rPr>
        <w:t>梦想杯</w:t>
      </w:r>
      <w:r>
        <w:rPr>
          <w:rFonts w:hint="eastAsia"/>
        </w:rPr>
        <w:t>”创新创业大赛校友命题</w:t>
      </w:r>
      <w:r>
        <w:t>赛道方案</w:t>
      </w:r>
    </w:p>
    <w:p w14:paraId="195C4C3F">
      <w:pPr>
        <w:spacing w:line="560" w:lineRule="exact"/>
        <w:ind w:firstLine="648" w:firstLineChars="200"/>
        <w:rPr>
          <w:rFonts w:hint="eastAsia" w:ascii="仿宋_GB2312" w:eastAsia="仿宋_GB2312"/>
          <w:sz w:val="32"/>
          <w:szCs w:val="32"/>
        </w:rPr>
      </w:pPr>
      <w:r>
        <w:rPr>
          <w:rFonts w:hint="eastAsia" w:ascii="仿宋" w:hAnsi="仿宋" w:eastAsia="仿宋" w:cs="仿宋"/>
          <w:spacing w:val="2"/>
          <w:sz w:val="32"/>
          <w:szCs w:val="32"/>
        </w:rPr>
        <w:t>暨南大学珠海校区第</w:t>
      </w:r>
      <w:r>
        <w:rPr>
          <w:rFonts w:hint="eastAsia" w:ascii="仿宋" w:hAnsi="仿宋" w:eastAsia="仿宋" w:cs="仿宋"/>
          <w:spacing w:val="2"/>
          <w:sz w:val="32"/>
          <w:szCs w:val="32"/>
          <w:lang w:val="en-US" w:eastAsia="zh-CN"/>
        </w:rPr>
        <w:t>四</w:t>
      </w:r>
      <w:r>
        <w:rPr>
          <w:rFonts w:hint="eastAsia" w:ascii="仿宋" w:hAnsi="仿宋" w:eastAsia="仿宋" w:cs="仿宋"/>
          <w:spacing w:val="2"/>
          <w:sz w:val="32"/>
          <w:szCs w:val="32"/>
        </w:rPr>
        <w:t>届“</w:t>
      </w:r>
      <w:r>
        <w:rPr>
          <w:rFonts w:hint="eastAsia" w:ascii="仿宋" w:hAnsi="仿宋" w:eastAsia="仿宋" w:cs="仿宋"/>
          <w:spacing w:val="2"/>
          <w:sz w:val="32"/>
          <w:szCs w:val="32"/>
          <w:lang w:val="en-US" w:eastAsia="zh-CN"/>
        </w:rPr>
        <w:t>梦想</w:t>
      </w:r>
      <w:r>
        <w:rPr>
          <w:rFonts w:hint="eastAsia" w:ascii="仿宋" w:hAnsi="仿宋" w:eastAsia="仿宋" w:cs="仿宋"/>
          <w:spacing w:val="2"/>
          <w:sz w:val="32"/>
          <w:szCs w:val="32"/>
        </w:rPr>
        <w:t>杯”创新创业大赛</w:t>
      </w:r>
      <w:r>
        <w:rPr>
          <w:rFonts w:hint="eastAsia" w:ascii="仿宋_GB2312" w:eastAsia="仿宋_GB2312"/>
          <w:sz w:val="32"/>
          <w:szCs w:val="32"/>
        </w:rPr>
        <w:t>设立校友命题赛道，</w:t>
      </w:r>
      <w:r>
        <w:rPr>
          <w:rFonts w:hint="eastAsia" w:ascii="仿宋_GB2312" w:eastAsia="仿宋_GB2312"/>
          <w:sz w:val="32"/>
          <w:szCs w:val="32"/>
          <w:lang w:val="en-US" w:eastAsia="zh-CN"/>
        </w:rPr>
        <w:t>推进校友与学生的深度互动与交流</w:t>
      </w:r>
      <w:r>
        <w:rPr>
          <w:rFonts w:hint="eastAsia" w:ascii="仿宋_GB2312" w:eastAsia="仿宋_GB2312"/>
          <w:sz w:val="32"/>
          <w:szCs w:val="32"/>
        </w:rPr>
        <w:t>。具体工作方案如下。</w:t>
      </w:r>
    </w:p>
    <w:p w14:paraId="2FA09974">
      <w:pPr>
        <w:pStyle w:val="3"/>
        <w:numPr>
          <w:ilvl w:val="0"/>
          <w:numId w:val="1"/>
        </w:numPr>
        <w:bidi w:val="0"/>
      </w:pPr>
      <w:r>
        <w:rPr>
          <w:rFonts w:hint="eastAsia"/>
          <w:lang w:val="en-US" w:eastAsia="zh-CN"/>
        </w:rPr>
        <w:t>命题主题及题目方向</w:t>
      </w:r>
    </w:p>
    <w:tbl>
      <w:tblPr>
        <w:tblStyle w:val="7"/>
        <w:tblW w:w="89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2916"/>
        <w:gridCol w:w="5050"/>
      </w:tblGrid>
      <w:tr w14:paraId="73C39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vAlign w:val="center"/>
          </w:tcPr>
          <w:p w14:paraId="517D442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bCs/>
                <w:spacing w:val="2"/>
                <w:sz w:val="28"/>
                <w:szCs w:val="28"/>
                <w:vertAlign w:val="baseline"/>
                <w:lang w:val="en-US" w:eastAsia="zh-CN"/>
              </w:rPr>
            </w:pPr>
            <w:r>
              <w:rPr>
                <w:rFonts w:hint="eastAsia" w:ascii="仿宋" w:hAnsi="仿宋" w:eastAsia="仿宋" w:cs="仿宋"/>
                <w:b/>
                <w:bCs/>
                <w:spacing w:val="2"/>
                <w:sz w:val="28"/>
                <w:szCs w:val="28"/>
                <w:vertAlign w:val="baseline"/>
                <w:lang w:val="en-US" w:eastAsia="zh-CN"/>
              </w:rPr>
              <w:t>序号</w:t>
            </w:r>
          </w:p>
        </w:tc>
        <w:tc>
          <w:tcPr>
            <w:tcW w:w="2916" w:type="dxa"/>
            <w:vAlign w:val="center"/>
          </w:tcPr>
          <w:p w14:paraId="5E8E06AE">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b/>
                <w:bCs/>
                <w:spacing w:val="2"/>
                <w:sz w:val="28"/>
                <w:szCs w:val="28"/>
                <w:vertAlign w:val="baseline"/>
                <w:lang w:val="en-US" w:eastAsia="zh-CN"/>
              </w:rPr>
            </w:pPr>
            <w:r>
              <w:rPr>
                <w:rFonts w:hint="eastAsia" w:ascii="仿宋" w:hAnsi="仿宋" w:eastAsia="仿宋" w:cs="仿宋"/>
                <w:b/>
                <w:bCs/>
                <w:spacing w:val="2"/>
                <w:sz w:val="28"/>
                <w:szCs w:val="28"/>
                <w:vertAlign w:val="baseline"/>
                <w:lang w:val="en-US" w:eastAsia="zh-CN"/>
              </w:rPr>
              <w:t>命题主题</w:t>
            </w:r>
          </w:p>
        </w:tc>
        <w:tc>
          <w:tcPr>
            <w:tcW w:w="5050" w:type="dxa"/>
            <w:vAlign w:val="center"/>
          </w:tcPr>
          <w:p w14:paraId="4C4FC47C">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b/>
                <w:bCs/>
                <w:spacing w:val="2"/>
                <w:sz w:val="28"/>
                <w:szCs w:val="28"/>
                <w:vertAlign w:val="baseline"/>
                <w:lang w:val="en-US" w:eastAsia="zh-CN"/>
              </w:rPr>
            </w:pPr>
            <w:r>
              <w:rPr>
                <w:rFonts w:hint="eastAsia" w:ascii="仿宋" w:hAnsi="仿宋" w:eastAsia="仿宋" w:cs="仿宋"/>
                <w:b/>
                <w:bCs/>
                <w:spacing w:val="2"/>
                <w:sz w:val="28"/>
                <w:szCs w:val="28"/>
                <w:vertAlign w:val="baseline"/>
                <w:lang w:val="en-US" w:eastAsia="zh-CN"/>
              </w:rPr>
              <w:t>题目方向</w:t>
            </w:r>
          </w:p>
        </w:tc>
      </w:tr>
      <w:tr w14:paraId="138B9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40F2B7F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w:t>
            </w:r>
          </w:p>
        </w:tc>
        <w:tc>
          <w:tcPr>
            <w:tcW w:w="2916" w:type="dxa"/>
          </w:tcPr>
          <w:p w14:paraId="7492B09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基于AI与大数据的个性化健康管理服务模式创新</w:t>
            </w:r>
          </w:p>
        </w:tc>
        <w:tc>
          <w:tcPr>
            <w:tcW w:w="5050" w:type="dxa"/>
            <w:vAlign w:val="top"/>
          </w:tcPr>
          <w:p w14:paraId="31EEC4AA">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随着人工智能技术的飞速发展，健康管理正在向个性化、智能化方向发展。Deepseek-R1模型已经具备了在诊疗上取代70%以上初级医生的能力；利用AI技术，可以为用户提供更加精准的健康管理服务。</w:t>
            </w:r>
          </w:p>
          <w:p w14:paraId="1DA0B059">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题目方向：</w:t>
            </w:r>
          </w:p>
          <w:p w14:paraId="53AD11E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①构建基于AI和大数据的健康管理方案，提供个性化健康评估与建议。</w:t>
            </w:r>
          </w:p>
          <w:p w14:paraId="2E66E059">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②设计数据采集方案，确保健康数据的准确性和全面性。</w:t>
            </w:r>
          </w:p>
          <w:p w14:paraId="00B01251">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③利用AI技术对健康数据进行深度挖掘和分析，提供个性化健康管理方案。</w:t>
            </w:r>
          </w:p>
          <w:p w14:paraId="3C585368">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④可以考虑面向内地三四线城市下沉市场人群，覆盖市场空白。</w:t>
            </w:r>
          </w:p>
          <w:p w14:paraId="384D9171">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⑤制定商业推广计划，明确目标用户群体与市场进入策略。</w:t>
            </w:r>
          </w:p>
        </w:tc>
      </w:tr>
      <w:tr w14:paraId="411A4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0" w:hRule="atLeast"/>
        </w:trPr>
        <w:tc>
          <w:tcPr>
            <w:tcW w:w="936" w:type="dxa"/>
          </w:tcPr>
          <w:p w14:paraId="40AB289A">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2</w:t>
            </w:r>
          </w:p>
        </w:tc>
        <w:tc>
          <w:tcPr>
            <w:tcW w:w="2916" w:type="dxa"/>
          </w:tcPr>
          <w:p w14:paraId="7F2B2269">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文化创意与设计在数字化时代的创新与融合</w:t>
            </w:r>
          </w:p>
        </w:tc>
        <w:tc>
          <w:tcPr>
            <w:tcW w:w="5050" w:type="dxa"/>
          </w:tcPr>
          <w:p w14:paraId="5AB2FB4F">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在数字化时代，文化创意与设计产业面临着新的机遇和挑战。如何将传统文化与现代数字技术相结合，创造出具有市场竞争力的文化产品和服务，成为亟待解决的问题。</w:t>
            </w:r>
          </w:p>
          <w:p w14:paraId="49B92B4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题目方向：</w:t>
            </w:r>
          </w:p>
          <w:p w14:paraId="750ABF0B">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①设计数字化文化创意产品或服务，包含至少一种创新的数字化展示或传播方式。</w:t>
            </w:r>
          </w:p>
          <w:p w14:paraId="09BFAF25">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②将传统文化元素与现代设计理念相结合，实现文化内涵与艺术表现的统一。</w:t>
            </w:r>
          </w:p>
          <w:p w14:paraId="3D792861">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③利用数字技术提高文化产品或服务的创意性和独特性。</w:t>
            </w:r>
          </w:p>
          <w:p w14:paraId="7B915D7B">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④撰写项目运营方案，包括产品定位、目标用户、推广策略等，并建立用户反馈机制以持续优化产品。</w:t>
            </w:r>
          </w:p>
        </w:tc>
      </w:tr>
      <w:tr w14:paraId="22F71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42E0B856">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3</w:t>
            </w:r>
          </w:p>
        </w:tc>
        <w:tc>
          <w:tcPr>
            <w:tcW w:w="2916" w:type="dxa"/>
          </w:tcPr>
          <w:p w14:paraId="56F15D0D">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AI冒险游戏——数据驱动的沉浸式学习</w:t>
            </w:r>
          </w:p>
        </w:tc>
        <w:tc>
          <w:tcPr>
            <w:tcW w:w="5050" w:type="dxa"/>
          </w:tcPr>
          <w:p w14:paraId="30C6D15A">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通过多结局多分支游戏，让中小学生快速认知当前AI世界的进度，人人可参与，所学各不同。</w:t>
            </w:r>
          </w:p>
          <w:p w14:paraId="0017C951">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题目方向：①开发决策树叙事引擎（学生决策选择影响游戏AI技术树事件走向）②集成多模态交互（语音辩论+手势决策+文本分析）③涵盖多学科，构建动态知识图谱（根据错误选项智能补充教学内容）</w:t>
            </w:r>
            <w:r>
              <w:rPr>
                <w:rFonts w:hint="eastAsia" w:ascii="仿宋" w:hAnsi="仿宋" w:eastAsia="仿宋" w:cs="仿宋"/>
                <w:spacing w:val="2"/>
                <w:sz w:val="24"/>
                <w:szCs w:val="24"/>
                <w:vertAlign w:val="baseline"/>
              </w:rPr>
              <w:br w:type="textWrapping"/>
            </w:r>
            <w:r>
              <w:rPr>
                <w:rFonts w:hint="eastAsia" w:ascii="仿宋" w:hAnsi="仿宋" w:eastAsia="仿宋" w:cs="仿宋"/>
                <w:spacing w:val="2"/>
                <w:sz w:val="24"/>
                <w:szCs w:val="24"/>
                <w:vertAlign w:val="baseline"/>
              </w:rPr>
              <w:t>创新方向：①将学习问题转化为游戏具象情境抉择②游戏时长单次课≤25分钟（符合青少年注意力周期）</w:t>
            </w:r>
          </w:p>
        </w:tc>
      </w:tr>
      <w:tr w14:paraId="2C679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3D455D01">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4</w:t>
            </w:r>
          </w:p>
        </w:tc>
        <w:tc>
          <w:tcPr>
            <w:tcW w:w="2916" w:type="dxa"/>
          </w:tcPr>
          <w:p w14:paraId="5EBBDBAA">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为企业提供AI定制服务的中间层服务，从互联网+到AI+</w:t>
            </w:r>
          </w:p>
        </w:tc>
        <w:tc>
          <w:tcPr>
            <w:tcW w:w="5050" w:type="dxa"/>
          </w:tcPr>
          <w:p w14:paraId="3E4A2672">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目前大多数企业/行业都可以利用AI赋能传统的流程，在研发、测试、销售等各环节，通过AI来提升效率、节省成本，通过调研企业/行业，熟悉AI服务的经理人团队可以对接适合的AI技术提供商，为企业/行业提供注入AI，提升企业效能。</w:t>
            </w:r>
          </w:p>
          <w:p w14:paraId="5A769F56">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p>
          <w:p w14:paraId="39EEF139">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举例说明：</w:t>
            </w:r>
          </w:p>
          <w:p w14:paraId="20C6414B">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①基于大数据的文化旅游营销策略创新：文旅产业发展，营销需创新。利用大数据分析游客偏好，制定精准营销策略，提高游客量；</w:t>
            </w:r>
          </w:p>
          <w:p w14:paraId="041142C8">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②跨境网络仲裁的智能合约执行引擎：将仲裁裁决条款自动转化为完整的法律方案，对接律师和互联网法院"云法庭"系统；利用AI的跨境贸易智能合规审查系统，解决RCEP、CPTPP等协定条款解读效率低、人工成本高的问题。</w:t>
            </w:r>
          </w:p>
          <w:p w14:paraId="1A7FD281">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eastAsia="zh-CN"/>
              </w:rPr>
            </w:pPr>
            <w:r>
              <w:rPr>
                <w:rFonts w:hint="eastAsia" w:ascii="仿宋" w:hAnsi="仿宋" w:eastAsia="仿宋" w:cs="仿宋"/>
                <w:spacing w:val="2"/>
                <w:sz w:val="24"/>
                <w:szCs w:val="24"/>
                <w:vertAlign w:val="baseline"/>
              </w:rPr>
              <w:t>③改造公共基础设施：通过微型计算模块及AI软件，低成本升级内地停车场适配粤港澳三地车牌识别问题；为大型密集型居住社区，提供AI预警和指引。</w:t>
            </w:r>
          </w:p>
        </w:tc>
      </w:tr>
      <w:tr w14:paraId="2DA95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5B29C166">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5</w:t>
            </w:r>
          </w:p>
        </w:tc>
        <w:tc>
          <w:tcPr>
            <w:tcW w:w="2916" w:type="dxa"/>
          </w:tcPr>
          <w:p w14:paraId="014D6025">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AI助力企业实现智能化升级</w:t>
            </w:r>
          </w:p>
        </w:tc>
        <w:tc>
          <w:tcPr>
            <w:tcW w:w="5050" w:type="dxa"/>
          </w:tcPr>
          <w:p w14:paraId="4AC8A4E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当前，人工智能（AI）正成为推动企业数字化转型的重要引擎。然而，不同企业在AI应用过程中面临诸多挑战，如数据孤岛、技术落地难、ROI 评估困难等。如何结合企业实际业务场景，高效利用 AI 技术提升运营效率、优化决策、增强竞争力，成为企业关注的核心问题。本赛题希望参赛者基于企业需求，探索 AI 在智能客服、市场分析、生产优化、供应链管理、风控合规等领域的创新应用方案。参赛者可以从数据治理、算法优化、系统集成、商业模式等角度出发，提出可落地的 AI 解决方案，助力企业实现智能化升级。</w:t>
            </w:r>
          </w:p>
          <w:p w14:paraId="088225C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具体挑战如下：</w:t>
            </w:r>
          </w:p>
          <w:p w14:paraId="1FFF877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①如何精准识别企业AI应用痛点，并提出具备商业价值的解决方案？</w:t>
            </w:r>
          </w:p>
          <w:p w14:paraId="1FF9DC5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②如何通过数据驱动和算法创新，提高 AI 在企业中的应用效率？</w:t>
            </w:r>
          </w:p>
          <w:p w14:paraId="18F11F9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③如何平衡 AI 赋能与成本控制，确保方案的可行性和可扩展性？</w:t>
            </w:r>
          </w:p>
          <w:p w14:paraId="5527125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eastAsia="zh-CN"/>
              </w:rPr>
            </w:pPr>
            <w:r>
              <w:rPr>
                <w:rFonts w:hint="eastAsia" w:ascii="仿宋" w:hAnsi="仿宋" w:eastAsia="仿宋" w:cs="仿宋"/>
                <w:spacing w:val="2"/>
                <w:sz w:val="24"/>
                <w:szCs w:val="24"/>
                <w:vertAlign w:val="baseline"/>
              </w:rPr>
              <w:t>期待参赛者基于技术与管理的双重视角，为企业AI赋能提供创新思路与实践路径</w:t>
            </w:r>
            <w:r>
              <w:rPr>
                <w:rFonts w:hint="eastAsia" w:ascii="仿宋" w:hAnsi="仿宋" w:eastAsia="仿宋" w:cs="仿宋"/>
                <w:spacing w:val="2"/>
                <w:sz w:val="24"/>
                <w:szCs w:val="24"/>
                <w:vertAlign w:val="baseline"/>
                <w:lang w:eastAsia="zh-CN"/>
              </w:rPr>
              <w:t>。</w:t>
            </w:r>
          </w:p>
        </w:tc>
      </w:tr>
      <w:tr w14:paraId="43470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21EB8B85">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6</w:t>
            </w:r>
          </w:p>
        </w:tc>
        <w:tc>
          <w:tcPr>
            <w:tcW w:w="2916" w:type="dxa"/>
          </w:tcPr>
          <w:p w14:paraId="7A923F0A">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w:t>
            </w:r>
            <w:r>
              <w:rPr>
                <w:rFonts w:hint="eastAsia" w:ascii="仿宋" w:hAnsi="仿宋" w:eastAsia="仿宋" w:cs="仿宋"/>
                <w:spacing w:val="2"/>
                <w:sz w:val="24"/>
                <w:szCs w:val="24"/>
                <w:vertAlign w:val="baseline"/>
                <w:lang w:val="en-US" w:eastAsia="zh-CN"/>
              </w:rPr>
              <w:t>I</w:t>
            </w:r>
            <w:r>
              <w:rPr>
                <w:rFonts w:hint="eastAsia" w:ascii="仿宋" w:hAnsi="仿宋" w:eastAsia="仿宋" w:cs="仿宋"/>
                <w:spacing w:val="2"/>
                <w:sz w:val="24"/>
                <w:szCs w:val="24"/>
                <w:vertAlign w:val="baseline"/>
              </w:rPr>
              <w:t>在行业商业应用（轻医美或其他行业）</w:t>
            </w:r>
          </w:p>
        </w:tc>
        <w:tc>
          <w:tcPr>
            <w:tcW w:w="5050" w:type="dxa"/>
          </w:tcPr>
          <w:p w14:paraId="12962293">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利用</w:t>
            </w:r>
            <w:r>
              <w:rPr>
                <w:rFonts w:hint="eastAsia" w:ascii="仿宋" w:hAnsi="仿宋" w:eastAsia="仿宋" w:cs="仿宋"/>
                <w:spacing w:val="2"/>
                <w:sz w:val="24"/>
                <w:szCs w:val="24"/>
                <w:vertAlign w:val="baseline"/>
                <w:lang w:val="en-US" w:eastAsia="zh-CN"/>
              </w:rPr>
              <w:t>AI帮助盈利</w:t>
            </w:r>
            <w:r>
              <w:rPr>
                <w:rFonts w:hint="eastAsia" w:ascii="仿宋" w:hAnsi="仿宋" w:eastAsia="仿宋" w:cs="仿宋"/>
                <w:spacing w:val="2"/>
                <w:sz w:val="24"/>
                <w:szCs w:val="24"/>
                <w:vertAlign w:val="baseline"/>
              </w:rPr>
              <w:t>，具体要求如下：</w:t>
            </w:r>
          </w:p>
          <w:p w14:paraId="449B5DC4">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lang w:val="en-US" w:eastAsia="zh-CN"/>
              </w:rPr>
              <w:t>①</w:t>
            </w:r>
            <w:r>
              <w:rPr>
                <w:rFonts w:hint="eastAsia" w:ascii="仿宋" w:hAnsi="仿宋" w:eastAsia="仿宋" w:cs="仿宋"/>
                <w:spacing w:val="2"/>
                <w:sz w:val="24"/>
                <w:szCs w:val="24"/>
                <w:vertAlign w:val="baseline"/>
              </w:rPr>
              <w:t>AI营销：IP打造、线上获客、内容营销（短视频/直播/图文）、精准广告投放、营销活动策划</w:t>
            </w:r>
          </w:p>
          <w:p w14:paraId="413361DC">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lang w:val="en-US" w:eastAsia="zh-CN"/>
              </w:rPr>
              <w:t>②</w:t>
            </w:r>
            <w:r>
              <w:rPr>
                <w:rFonts w:hint="eastAsia" w:ascii="仿宋" w:hAnsi="仿宋" w:eastAsia="仿宋" w:cs="仿宋"/>
                <w:spacing w:val="2"/>
                <w:sz w:val="24"/>
                <w:szCs w:val="24"/>
                <w:vertAlign w:val="baseline"/>
              </w:rPr>
              <w:t>AI提效：人力资源、财务管理、Sop流程管理、办公文档、智能客服、设备维护、库存管理</w:t>
            </w:r>
          </w:p>
          <w:p w14:paraId="0582ABC2">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lang w:val="en-US" w:eastAsia="zh-CN"/>
              </w:rPr>
              <w:t>③</w:t>
            </w:r>
            <w:r>
              <w:rPr>
                <w:rFonts w:hint="eastAsia" w:ascii="仿宋" w:hAnsi="仿宋" w:eastAsia="仿宋" w:cs="仿宋"/>
                <w:spacing w:val="2"/>
                <w:sz w:val="24"/>
                <w:szCs w:val="24"/>
                <w:vertAlign w:val="baseline"/>
              </w:rPr>
              <w:t>AI运营：IT运营、项目运营、矩阵运营、供应链优化、用户体验优化、质量管控、数据分析</w:t>
            </w:r>
          </w:p>
        </w:tc>
      </w:tr>
      <w:tr w14:paraId="6BF8C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02EB1038">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7</w:t>
            </w:r>
          </w:p>
        </w:tc>
        <w:tc>
          <w:tcPr>
            <w:tcW w:w="2916" w:type="dxa"/>
          </w:tcPr>
          <w:p w14:paraId="659246F8">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AI与新零售的结合</w:t>
            </w:r>
          </w:p>
        </w:tc>
        <w:tc>
          <w:tcPr>
            <w:tcW w:w="5050" w:type="dxa"/>
          </w:tcPr>
          <w:p w14:paraId="2A22CBCD">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I与新零售的结合，从渠道，方式有哪些更好地应用。‌新零售是一种以互联网为依托，通过运用大数据、人工智能等先进技术手段，对商品的生产、流通与销售过程进行升级改造，进而重塑业态结构与生态圈，并对线上服务、线下体验以及现代物流进行深度融合的零售新模式‌。</w:t>
            </w:r>
          </w:p>
        </w:tc>
      </w:tr>
      <w:tr w14:paraId="7932A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41B09912">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8</w:t>
            </w:r>
          </w:p>
        </w:tc>
        <w:tc>
          <w:tcPr>
            <w:tcW w:w="2916" w:type="dxa"/>
          </w:tcPr>
          <w:p w14:paraId="622BC74D">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低空经济上中下游运用</w:t>
            </w:r>
          </w:p>
        </w:tc>
        <w:tc>
          <w:tcPr>
            <w:tcW w:w="5050" w:type="dxa"/>
          </w:tcPr>
          <w:p w14:paraId="19CBE89B">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在技术研发、设备制造到服务提供、市场应用这一完整产业链中，如何能做到各环节的协同发展和高效运营，以推动低空经济的全面落地和可持续发展。</w:t>
            </w:r>
          </w:p>
        </w:tc>
      </w:tr>
      <w:tr w14:paraId="371B1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6" w:type="dxa"/>
          </w:tcPr>
          <w:p w14:paraId="03225CBD">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9</w:t>
            </w:r>
          </w:p>
        </w:tc>
        <w:tc>
          <w:tcPr>
            <w:tcW w:w="2916" w:type="dxa"/>
          </w:tcPr>
          <w:p w14:paraId="389FDC46">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利用AI构建实时更新的企业信用评估模型</w:t>
            </w:r>
          </w:p>
        </w:tc>
        <w:tc>
          <w:tcPr>
            <w:tcW w:w="5050" w:type="dxa"/>
          </w:tcPr>
          <w:p w14:paraId="61FD606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如何利用AI构建实时更新的企业信用评估模型，提升平台风控能力。</w:t>
            </w:r>
          </w:p>
        </w:tc>
      </w:tr>
    </w:tbl>
    <w:p w14:paraId="6E84ADB1">
      <w:pPr>
        <w:numPr>
          <w:ilvl w:val="-1"/>
          <w:numId w:val="0"/>
        </w:numPr>
        <w:spacing w:line="560" w:lineRule="exact"/>
        <w:ind w:firstLine="0" w:firstLineChars="0"/>
        <w:rPr>
          <w:rFonts w:hint="eastAsia" w:ascii="仿宋" w:hAnsi="仿宋" w:eastAsia="仿宋" w:cs="仿宋"/>
          <w:spacing w:val="2"/>
          <w:sz w:val="32"/>
          <w:szCs w:val="32"/>
        </w:rPr>
      </w:pPr>
    </w:p>
    <w:p w14:paraId="7878C2DC">
      <w:pPr>
        <w:pStyle w:val="3"/>
        <w:bidi w:val="0"/>
      </w:pPr>
      <w:r>
        <w:rPr>
          <w:rFonts w:hint="eastAsia"/>
        </w:rPr>
        <w:t>二、参赛要求</w:t>
      </w:r>
    </w:p>
    <w:p w14:paraId="71F66187">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（一）本赛道以团队为单位报名参赛，每支参赛团队只能选择一题参加比赛，允许跨校</w:t>
      </w:r>
      <w:r>
        <w:rPr>
          <w:rFonts w:hint="eastAsia" w:ascii="仿宋_GB2312" w:eastAsia="仿宋_GB2312"/>
          <w:sz w:val="32"/>
          <w:szCs w:val="32"/>
          <w:lang w:val="en-US" w:eastAsia="zh-CN"/>
        </w:rPr>
        <w:t>区、跨校</w:t>
      </w:r>
      <w:r>
        <w:rPr>
          <w:rFonts w:hint="eastAsia" w:ascii="仿宋_GB2312" w:eastAsia="仿宋_GB2312"/>
          <w:sz w:val="32"/>
          <w:szCs w:val="32"/>
        </w:rPr>
        <w:t>组建、师生共同组建参赛团队，但项目团队负责人必须是珠海校区所属学院学生</w:t>
      </w:r>
      <w:r>
        <w:rPr>
          <w:rFonts w:hint="eastAsia" w:ascii="仿宋_GB2312" w:eastAsia="仿宋_GB2312"/>
          <w:sz w:val="32"/>
          <w:szCs w:val="32"/>
          <w:lang w:eastAsia="zh-CN"/>
        </w:rPr>
        <w:t>。</w:t>
      </w:r>
      <w:r>
        <w:rPr>
          <w:rFonts w:hint="eastAsia" w:ascii="仿宋_GB2312" w:eastAsia="仿宋_GB2312"/>
          <w:sz w:val="32"/>
          <w:szCs w:val="32"/>
        </w:rPr>
        <w:t>每个团队的成员不少于3人，不多于8人（含团队负责人），须为揭榜答题的实际核心成员。</w:t>
      </w:r>
    </w:p>
    <w:p w14:paraId="1C1025BC">
      <w:pPr>
        <w:spacing w:line="540" w:lineRule="exact"/>
        <w:ind w:firstLine="640" w:firstLineChars="200"/>
        <w:rPr>
          <w:rFonts w:ascii="仿宋_GB2312" w:eastAsia="仿宋_GB2312"/>
          <w:sz w:val="32"/>
          <w:szCs w:val="32"/>
        </w:rPr>
      </w:pPr>
      <w:r>
        <w:rPr>
          <w:rFonts w:hint="eastAsia" w:ascii="仿宋_GB2312" w:eastAsia="仿宋_GB2312"/>
          <w:sz w:val="32"/>
          <w:szCs w:val="32"/>
        </w:rPr>
        <w:t>（二）项目负责人须为普通高等学校全日制在校生（包括本专科生、研究生，不含在职教育），或毕业5年以内的全日制学生（即201</w:t>
      </w:r>
      <w:r>
        <w:rPr>
          <w:rFonts w:hint="eastAsia" w:ascii="仿宋_GB2312" w:eastAsia="仿宋_GB2312"/>
          <w:sz w:val="32"/>
          <w:szCs w:val="32"/>
          <w:lang w:val="en-US" w:eastAsia="zh-CN"/>
        </w:rPr>
        <w:t>9</w:t>
      </w:r>
      <w:r>
        <w:rPr>
          <w:rFonts w:hint="eastAsia" w:ascii="仿宋_GB2312" w:eastAsia="仿宋_GB2312"/>
          <w:sz w:val="32"/>
          <w:szCs w:val="32"/>
        </w:rPr>
        <w:t>年之后毕业的本专科生、研究生，不含在职教育）。参赛项目中的教师须为高校教师（202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日前正式入职）。</w:t>
      </w:r>
    </w:p>
    <w:p w14:paraId="6E24B833">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（三）参赛团队所提交的命题对策须符合题目要求。参赛团队须对提交的应答材料拥有自主知识产权，不得侵犯他人知识产权或物权。</w:t>
      </w:r>
    </w:p>
    <w:p w14:paraId="26AA0659">
      <w:pPr>
        <w:spacing w:line="54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w:t>
      </w:r>
      <w:r>
        <w:rPr>
          <w:rFonts w:hint="eastAsia" w:ascii="仿宋_GB2312" w:eastAsia="仿宋_GB2312"/>
          <w:sz w:val="32"/>
          <w:szCs w:val="32"/>
          <w:lang w:val="en-US" w:eastAsia="zh-CN"/>
        </w:rPr>
        <w:t>校友命题赛道与高教主赛道、“青年红色筑梦之旅”赛道，均不可兼报。</w:t>
      </w:r>
    </w:p>
    <w:p w14:paraId="43643697">
      <w:pPr>
        <w:pStyle w:val="3"/>
      </w:pPr>
      <w:r>
        <w:rPr>
          <w:rFonts w:hint="eastAsia"/>
          <w:lang w:val="en-US" w:eastAsia="zh-CN"/>
        </w:rPr>
        <w:t>三</w:t>
      </w:r>
      <w:r>
        <w:rPr>
          <w:rFonts w:hint="eastAsia"/>
        </w:rPr>
        <w:t>、比赛赛制</w:t>
      </w:r>
    </w:p>
    <w:p w14:paraId="048518E0">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本赛道采用初赛</w:t>
      </w:r>
      <w:r>
        <w:rPr>
          <w:rFonts w:hint="eastAsia" w:ascii="仿宋" w:hAnsi="仿宋" w:eastAsia="仿宋" w:cs="仿宋"/>
          <w:spacing w:val="2"/>
          <w:sz w:val="32"/>
          <w:szCs w:val="32"/>
          <w:lang w:val="en-US" w:eastAsia="zh-CN"/>
        </w:rPr>
        <w:t>和</w:t>
      </w:r>
      <w:r>
        <w:rPr>
          <w:rFonts w:hint="eastAsia" w:ascii="仿宋" w:hAnsi="仿宋" w:eastAsia="仿宋" w:cs="仿宋"/>
          <w:spacing w:val="2"/>
          <w:sz w:val="32"/>
          <w:szCs w:val="32"/>
        </w:rPr>
        <w:t>决赛</w:t>
      </w:r>
      <w:r>
        <w:rPr>
          <w:rFonts w:hint="eastAsia" w:ascii="仿宋" w:hAnsi="仿宋" w:eastAsia="仿宋" w:cs="仿宋"/>
          <w:spacing w:val="2"/>
          <w:sz w:val="32"/>
          <w:szCs w:val="32"/>
          <w:lang w:val="en-US" w:eastAsia="zh-CN"/>
        </w:rPr>
        <w:t>二</w:t>
      </w:r>
      <w:r>
        <w:rPr>
          <w:rFonts w:hint="eastAsia" w:ascii="仿宋" w:hAnsi="仿宋" w:eastAsia="仿宋" w:cs="仿宋"/>
          <w:spacing w:val="2"/>
          <w:sz w:val="32"/>
          <w:szCs w:val="32"/>
        </w:rPr>
        <w:t>级赛制，</w:t>
      </w:r>
      <w:r>
        <w:rPr>
          <w:rFonts w:hint="eastAsia" w:ascii="仿宋" w:hAnsi="仿宋" w:eastAsia="仿宋" w:cs="仿宋"/>
          <w:spacing w:val="2"/>
          <w:sz w:val="32"/>
          <w:szCs w:val="32"/>
          <w:lang w:val="en-US" w:eastAsia="zh-CN"/>
        </w:rPr>
        <w:t>单独</w:t>
      </w:r>
      <w:r>
        <w:rPr>
          <w:rFonts w:hint="eastAsia" w:ascii="仿宋" w:hAnsi="仿宋" w:eastAsia="仿宋" w:cs="仿宋"/>
          <w:spacing w:val="2"/>
          <w:sz w:val="32"/>
          <w:szCs w:val="32"/>
        </w:rPr>
        <w:t>评审，不设置组别。</w:t>
      </w:r>
    </w:p>
    <w:p w14:paraId="7F8AFAA5">
      <w:pPr>
        <w:pStyle w:val="3"/>
      </w:pPr>
      <w:r>
        <w:rPr>
          <w:rFonts w:hint="eastAsia"/>
          <w:lang w:val="en-US" w:eastAsia="zh-CN"/>
        </w:rPr>
        <w:t>四</w:t>
      </w:r>
      <w:r>
        <w:rPr>
          <w:rFonts w:hint="eastAsia"/>
        </w:rPr>
        <w:t>、奖项设置</w:t>
      </w:r>
    </w:p>
    <w:p w14:paraId="6C70D307">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本赛道单独</w:t>
      </w:r>
      <w:r>
        <w:rPr>
          <w:rFonts w:hint="eastAsia" w:ascii="仿宋" w:hAnsi="仿宋" w:eastAsia="仿宋" w:cs="仿宋"/>
          <w:spacing w:val="2"/>
          <w:sz w:val="32"/>
          <w:szCs w:val="32"/>
          <w:lang w:val="en-US" w:eastAsia="zh-CN"/>
        </w:rPr>
        <w:t>设立奖项，包括</w:t>
      </w:r>
      <w:r>
        <w:rPr>
          <w:rFonts w:hint="eastAsia" w:ascii="仿宋" w:hAnsi="仿宋" w:eastAsia="仿宋" w:cs="仿宋"/>
          <w:spacing w:val="2"/>
          <w:sz w:val="32"/>
          <w:szCs w:val="32"/>
        </w:rPr>
        <w:t>一等奖1个，二等奖</w:t>
      </w:r>
      <w:r>
        <w:rPr>
          <w:rFonts w:hint="eastAsia" w:ascii="仿宋" w:hAnsi="仿宋" w:eastAsia="仿宋" w:cs="仿宋"/>
          <w:spacing w:val="2"/>
          <w:sz w:val="32"/>
          <w:szCs w:val="32"/>
          <w:lang w:val="en-US" w:eastAsia="zh-CN"/>
        </w:rPr>
        <w:t>2个</w:t>
      </w:r>
      <w:r>
        <w:rPr>
          <w:rFonts w:hint="eastAsia" w:ascii="仿宋" w:hAnsi="仿宋" w:eastAsia="仿宋" w:cs="仿宋"/>
          <w:spacing w:val="2"/>
          <w:sz w:val="32"/>
          <w:szCs w:val="32"/>
        </w:rPr>
        <w:t>、三等奖</w:t>
      </w:r>
      <w:r>
        <w:rPr>
          <w:rFonts w:hint="eastAsia" w:ascii="仿宋" w:hAnsi="仿宋" w:eastAsia="仿宋" w:cs="仿宋"/>
          <w:spacing w:val="2"/>
          <w:sz w:val="32"/>
          <w:szCs w:val="32"/>
          <w:lang w:val="en-US" w:eastAsia="zh-CN"/>
        </w:rPr>
        <w:t>3个</w:t>
      </w:r>
      <w:r>
        <w:rPr>
          <w:rFonts w:hint="eastAsia" w:ascii="仿宋" w:hAnsi="仿宋" w:eastAsia="仿宋" w:cs="仿宋"/>
          <w:spacing w:val="2"/>
          <w:sz w:val="32"/>
          <w:szCs w:val="32"/>
        </w:rPr>
        <w:t>、优秀奖若干个；另设优秀组织奖和优秀创新创业导师</w:t>
      </w:r>
      <w:r>
        <w:rPr>
          <w:rFonts w:hint="eastAsia" w:ascii="仿宋" w:hAnsi="仿宋" w:eastAsia="仿宋" w:cs="仿宋"/>
          <w:spacing w:val="2"/>
          <w:sz w:val="32"/>
          <w:szCs w:val="32"/>
          <w:lang w:val="en-US" w:eastAsia="zh-CN"/>
        </w:rPr>
        <w:t>奖</w:t>
      </w:r>
      <w:r>
        <w:rPr>
          <w:rFonts w:hint="eastAsia" w:ascii="仿宋" w:hAnsi="仿宋" w:eastAsia="仿宋" w:cs="仿宋"/>
          <w:spacing w:val="2"/>
          <w:sz w:val="32"/>
          <w:szCs w:val="32"/>
        </w:rPr>
        <w:t>。</w:t>
      </w:r>
    </w:p>
    <w:p w14:paraId="0963EB02">
      <w:pPr>
        <w:pStyle w:val="3"/>
      </w:pPr>
      <w:r>
        <w:rPr>
          <w:rFonts w:hint="eastAsia"/>
          <w:lang w:val="en-US" w:eastAsia="zh-CN"/>
        </w:rPr>
        <w:t>五</w:t>
      </w:r>
      <w:r>
        <w:rPr>
          <w:rFonts w:hint="eastAsia"/>
        </w:rPr>
        <w:t>、其他</w:t>
      </w:r>
    </w:p>
    <w:p w14:paraId="261C0AFD">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本附件所涉及条款的最终解释权归创业实验室所有。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
    <w:altName w:val="Times New Roman"/>
    <w:panose1 w:val="02010609060101010101"/>
    <w:charset w:val="86"/>
    <w:family w:val="auto"/>
    <w:pitch w:val="default"/>
    <w:sig w:usb0="00000000" w:usb1="00000000" w:usb2="00000016" w:usb3="00000000" w:csb0="00040001" w:csb1="00000000"/>
  </w:font>
  <w:font w:name="方正仿宋_GBK">
    <w:altName w:val="Times New Roman"/>
    <w:panose1 w:val="00000000000000000000"/>
    <w:charset w:val="00"/>
    <w:family w:val="auto"/>
    <w:pitch w:val="default"/>
    <w:sig w:usb0="00000000" w:usb1="00000000" w:usb2="00000000" w:usb3="00000000" w:csb0="00000000" w:csb1="00000000"/>
  </w:font>
  <w:font w:name="仿宋_GB2312">
    <w:altName w:val="Times New Roman"/>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783619"/>
    <w:multiLevelType w:val="singleLevel"/>
    <w:tmpl w:val="667836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xZWZhZWE0MDhhY2I4ZTQ5OWRhMzYyYzNkMjc0N2MifQ=="/>
  </w:docVars>
  <w:rsids>
    <w:rsidRoot w:val="5443539B"/>
    <w:rsid w:val="00004A0F"/>
    <w:rsid w:val="00A971E8"/>
    <w:rsid w:val="00BC31E1"/>
    <w:rsid w:val="00C6783D"/>
    <w:rsid w:val="00E36BFE"/>
    <w:rsid w:val="066C37D1"/>
    <w:rsid w:val="06DB084C"/>
    <w:rsid w:val="15ED3A8A"/>
    <w:rsid w:val="18392B00"/>
    <w:rsid w:val="1A366074"/>
    <w:rsid w:val="1A875E23"/>
    <w:rsid w:val="278C564A"/>
    <w:rsid w:val="2E9654A0"/>
    <w:rsid w:val="39FBE497"/>
    <w:rsid w:val="3B1340EE"/>
    <w:rsid w:val="43806806"/>
    <w:rsid w:val="4A805128"/>
    <w:rsid w:val="4AE64EED"/>
    <w:rsid w:val="4D124713"/>
    <w:rsid w:val="50242014"/>
    <w:rsid w:val="540D4E72"/>
    <w:rsid w:val="5443539B"/>
    <w:rsid w:val="57422610"/>
    <w:rsid w:val="57C43018"/>
    <w:rsid w:val="58422633"/>
    <w:rsid w:val="5DE97722"/>
    <w:rsid w:val="5FF00741"/>
    <w:rsid w:val="64B86CF8"/>
    <w:rsid w:val="6A744D06"/>
    <w:rsid w:val="6B0E31FA"/>
    <w:rsid w:val="76DE62AF"/>
    <w:rsid w:val="7BB013D1"/>
    <w:rsid w:val="7D7C1D48"/>
    <w:rsid w:val="7EBF6DB2"/>
    <w:rsid w:val="BEF70F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autoRedefine/>
    <w:qFormat/>
    <w:uiPriority w:val="0"/>
    <w:pPr>
      <w:keepNext/>
      <w:keepLines/>
      <w:spacing w:line="560" w:lineRule="exact"/>
      <w:jc w:val="center"/>
      <w:outlineLvl w:val="0"/>
    </w:pPr>
    <w:rPr>
      <w:rFonts w:eastAsia="宋体"/>
      <w:b/>
      <w:kern w:val="44"/>
      <w:sz w:val="44"/>
    </w:rPr>
  </w:style>
  <w:style w:type="paragraph" w:styleId="3">
    <w:name w:val="heading 2"/>
    <w:basedOn w:val="1"/>
    <w:next w:val="1"/>
    <w:link w:val="9"/>
    <w:autoRedefine/>
    <w:unhideWhenUsed/>
    <w:qFormat/>
    <w:uiPriority w:val="0"/>
    <w:pPr>
      <w:keepNext/>
      <w:keepLines/>
      <w:spacing w:before="260" w:after="260" w:line="560" w:lineRule="exact"/>
      <w:outlineLvl w:val="1"/>
    </w:pPr>
    <w:rPr>
      <w:rFonts w:eastAsia="黑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0"/>
    <w:rPr>
      <w:rFonts w:ascii="仿宋" w:hAnsi="仿宋" w:eastAsia="仿宋" w:cs="仿宋"/>
      <w:sz w:val="33"/>
      <w:szCs w:val="33"/>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字符"/>
    <w:link w:val="3"/>
    <w:autoRedefine/>
    <w:qFormat/>
    <w:uiPriority w:val="0"/>
    <w:rPr>
      <w:rFonts w:ascii="Arial" w:hAnsi="Arial" w:eastAsia="黑体"/>
      <w:b/>
      <w:sz w:val="32"/>
    </w:rPr>
  </w:style>
  <w:style w:type="paragraph" w:customStyle="1" w:styleId="10">
    <w:name w:val="Revision"/>
    <w:autoRedefine/>
    <w:hidden/>
    <w:semiHidden/>
    <w:qFormat/>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4102</Words>
  <Characters>4181</Characters>
  <Lines>18</Lines>
  <Paragraphs>5</Paragraphs>
  <TotalTime>25</TotalTime>
  <ScaleCrop>false</ScaleCrop>
  <LinksUpToDate>false</LinksUpToDate>
  <CharactersWithSpaces>4208</CharactersWithSpaces>
  <Application>WPS Office WWO_wpscloud_20250319220634-bbde9b6bd9</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2023-04-04T17:58:00Z</dcterms:created>
  <dc:creator>张冲</dc:creator>
  <cp:lastModifiedBy>weboffice</cp:lastModifiedBy>
  <dcterms:modified xsi:type="dcterms:W3CDTF">2025-03-21T16:09:56Z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2052-12.9.0.20720</vt:lpwstr>
  </property>
  <property fmtid="{D5CDD505-2E9C-101B-9397-08002B2CF9AE}" pid="3" name="ICV">
    <vt:lpwstr>3B955DC10D3C3FBAD41EDD6736E4857F_43</vt:lpwstr>
  </property>
  <property fmtid="{D5CDD505-2E9C-101B-9397-08002B2CF9AE}" pid="4" name="KSOTemplateDocerSaveRecord">
    <vt:lpwstr>eyJoZGlkIjoiZTM3MTdkZjdlNmQ0OWZmMmJhOGI4MGU2Y2NlYjYyOGQiLCJ1c2VySWQiOiIzOTIyMTMxMjMifQ==</vt:lpwstr>
  </property>
</Properties>
</file>