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29B" w:rsidRPr="0095129B" w:rsidRDefault="0095129B" w:rsidP="0095129B">
      <w:pPr>
        <w:jc w:val="left"/>
        <w:rPr>
          <w:rFonts w:ascii="黑体" w:eastAsia="黑体" w:hAnsi="黑体"/>
          <w:b/>
          <w:sz w:val="32"/>
          <w:szCs w:val="32"/>
        </w:rPr>
      </w:pPr>
      <w:r w:rsidRPr="0095129B">
        <w:rPr>
          <w:rFonts w:ascii="黑体" w:eastAsia="黑体" w:hAnsi="黑体" w:hint="eastAsia"/>
          <w:b/>
          <w:sz w:val="32"/>
          <w:szCs w:val="32"/>
        </w:rPr>
        <w:t>附件</w:t>
      </w:r>
      <w:r w:rsidRPr="0095129B">
        <w:rPr>
          <w:rFonts w:ascii="黑体" w:eastAsia="黑体" w:hAnsi="黑体" w:hint="eastAsia"/>
          <w:b/>
          <w:sz w:val="32"/>
          <w:szCs w:val="32"/>
        </w:rPr>
        <w:t>4</w:t>
      </w:r>
      <w:r w:rsidRPr="0095129B">
        <w:rPr>
          <w:rFonts w:ascii="黑体" w:eastAsia="黑体" w:hAnsi="黑体" w:hint="eastAsia"/>
          <w:b/>
          <w:sz w:val="32"/>
          <w:szCs w:val="32"/>
        </w:rPr>
        <w:t>：</w:t>
      </w:r>
      <w:r w:rsidRPr="0095129B">
        <w:rPr>
          <w:rFonts w:ascii="黑体" w:eastAsia="黑体" w:hAnsi="黑体"/>
          <w:b/>
          <w:sz w:val="32"/>
          <w:szCs w:val="32"/>
        </w:rPr>
        <w:t>高水平大学建设</w:t>
      </w:r>
      <w:r w:rsidRPr="0095129B">
        <w:rPr>
          <w:rFonts w:ascii="黑体" w:eastAsia="黑体" w:hAnsi="黑体" w:hint="eastAsia"/>
          <w:b/>
          <w:sz w:val="32"/>
          <w:szCs w:val="32"/>
        </w:rPr>
        <w:t>经费使用指南</w:t>
      </w:r>
    </w:p>
    <w:p w:rsidR="0095129B" w:rsidRPr="00BE742D" w:rsidRDefault="0095129B" w:rsidP="0095129B">
      <w:pPr>
        <w:spacing w:beforeLines="50" w:before="156" w:afterLines="50" w:after="156"/>
        <w:jc w:val="center"/>
        <w:rPr>
          <w:rFonts w:ascii="Times New Roman" w:hAnsi="宋体"/>
          <w:szCs w:val="21"/>
        </w:rPr>
      </w:pPr>
      <w:r w:rsidRPr="00BE742D">
        <w:rPr>
          <w:rFonts w:ascii="Times New Roman" w:eastAsia="楷体" w:hAnsi="楷体"/>
          <w:sz w:val="30"/>
          <w:szCs w:val="30"/>
        </w:rPr>
        <w:t>发展规划处</w:t>
      </w:r>
      <w:r w:rsidRPr="00BE742D">
        <w:rPr>
          <w:rFonts w:ascii="Times New Roman" w:eastAsia="楷体" w:hAnsi="楷体" w:hint="eastAsia"/>
          <w:sz w:val="30"/>
          <w:szCs w:val="30"/>
        </w:rPr>
        <w:t xml:space="preserve">    2021</w:t>
      </w:r>
      <w:r w:rsidRPr="00BE742D">
        <w:rPr>
          <w:rFonts w:ascii="Times New Roman" w:eastAsia="楷体" w:hAnsi="楷体" w:hint="eastAsia"/>
          <w:sz w:val="30"/>
          <w:szCs w:val="30"/>
        </w:rPr>
        <w:t>年</w:t>
      </w:r>
      <w:r w:rsidRPr="00BE742D">
        <w:rPr>
          <w:rFonts w:ascii="Times New Roman" w:eastAsia="楷体" w:hAnsi="楷体" w:hint="eastAsia"/>
          <w:sz w:val="30"/>
          <w:szCs w:val="30"/>
        </w:rPr>
        <w:t>4</w:t>
      </w:r>
      <w:r w:rsidRPr="00BE742D">
        <w:rPr>
          <w:rFonts w:ascii="Times New Roman" w:eastAsia="楷体" w:hAnsi="楷体" w:hint="eastAsia"/>
          <w:sz w:val="30"/>
          <w:szCs w:val="30"/>
        </w:rPr>
        <w:t>月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200" w:firstLine="560"/>
        <w:rPr>
          <w:rFonts w:ascii="Times New Roman" w:hAnsi="宋体"/>
          <w:sz w:val="28"/>
          <w:szCs w:val="28"/>
        </w:rPr>
      </w:pPr>
      <w:r w:rsidRPr="0095129B">
        <w:rPr>
          <w:rFonts w:ascii="Times New Roman" w:hAnsi="宋体" w:hint="eastAsia"/>
          <w:sz w:val="28"/>
          <w:szCs w:val="28"/>
        </w:rPr>
        <w:t>本指南依据《暨南大学高水平大学建设专项资金管理办法》（暨财</w:t>
      </w:r>
      <w:r w:rsidRPr="0095129B">
        <w:rPr>
          <w:rFonts w:ascii="宋体" w:hAnsi="宋体" w:hint="eastAsia"/>
          <w:sz w:val="28"/>
          <w:szCs w:val="28"/>
        </w:rPr>
        <w:t>﹝2016﹞5号</w:t>
      </w:r>
      <w:r w:rsidRPr="0095129B">
        <w:rPr>
          <w:rFonts w:ascii="Times New Roman" w:hAnsi="宋体" w:hint="eastAsia"/>
          <w:sz w:val="28"/>
          <w:szCs w:val="28"/>
        </w:rPr>
        <w:t>），并结合学科建设经费实际使</w:t>
      </w:r>
      <w:bookmarkStart w:id="0" w:name="_GoBack"/>
      <w:bookmarkEnd w:id="0"/>
      <w:r w:rsidRPr="0095129B">
        <w:rPr>
          <w:rFonts w:ascii="Times New Roman" w:hAnsi="宋体" w:hint="eastAsia"/>
          <w:sz w:val="28"/>
          <w:szCs w:val="28"/>
        </w:rPr>
        <w:t>用情况制定。文中“高水平大学建设经费”特指由学校发展规划处下拨至各校区、学院（学部）及相关校内机构的学科建设专项经费。经费来源包含：中央“双一流”引导专项、广东省“冲补强”专项。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rPr>
          <w:rFonts w:ascii="Times New Roman" w:hAnsi="宋体"/>
          <w:b/>
          <w:sz w:val="28"/>
          <w:szCs w:val="28"/>
        </w:rPr>
      </w:pPr>
      <w:r w:rsidRPr="0095129B">
        <w:rPr>
          <w:rFonts w:ascii="Times New Roman" w:hAnsi="宋体" w:hint="eastAsia"/>
          <w:b/>
          <w:sz w:val="28"/>
          <w:szCs w:val="28"/>
        </w:rPr>
        <w:t>一、使用原则及范围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jc w:val="left"/>
        <w:rPr>
          <w:rFonts w:ascii="Times New Roman" w:hAnsi="Times New Roman"/>
          <w:sz w:val="28"/>
          <w:szCs w:val="28"/>
        </w:rPr>
      </w:pPr>
      <w:r w:rsidRPr="0095129B">
        <w:rPr>
          <w:rFonts w:ascii="Times New Roman" w:hAnsi="Times New Roman" w:hint="eastAsia"/>
          <w:b/>
          <w:sz w:val="28"/>
          <w:szCs w:val="28"/>
        </w:rPr>
        <w:t>（一）</w:t>
      </w:r>
      <w:r w:rsidRPr="0095129B">
        <w:rPr>
          <w:rFonts w:ascii="Times New Roman" w:hAnsi="宋体" w:hint="eastAsia"/>
          <w:b/>
          <w:sz w:val="28"/>
          <w:szCs w:val="28"/>
        </w:rPr>
        <w:t>学院（学部）统筹原则。</w:t>
      </w:r>
      <w:r w:rsidRPr="0095129B">
        <w:rPr>
          <w:rFonts w:ascii="Times New Roman" w:hAnsi="Times New Roman" w:hint="eastAsia"/>
          <w:sz w:val="28"/>
          <w:szCs w:val="28"/>
        </w:rPr>
        <w:t>项目</w:t>
      </w:r>
      <w:r w:rsidRPr="0095129B">
        <w:rPr>
          <w:rFonts w:ascii="Times New Roman" w:hAnsi="Times New Roman"/>
          <w:sz w:val="28"/>
          <w:szCs w:val="28"/>
        </w:rPr>
        <w:t>建设经费以学院（学部）为责任主体进行下拨，加大学院（学部）对学科建设经费的统筹权限和责任。各学院（学部）应统筹平衡好下辖相关学科的发展，重点保障一流学科和</w:t>
      </w:r>
      <w:r w:rsidRPr="0095129B">
        <w:rPr>
          <w:rFonts w:ascii="Times New Roman" w:hAnsi="Times New Roman"/>
          <w:sz w:val="28"/>
          <w:szCs w:val="28"/>
        </w:rPr>
        <w:t>“</w:t>
      </w:r>
      <w:r w:rsidRPr="0095129B">
        <w:rPr>
          <w:rFonts w:ascii="Times New Roman" w:hAnsi="Times New Roman"/>
          <w:sz w:val="28"/>
          <w:szCs w:val="28"/>
        </w:rPr>
        <w:t>冲补强</w:t>
      </w:r>
      <w:r w:rsidRPr="0095129B">
        <w:rPr>
          <w:rFonts w:ascii="Times New Roman" w:hAnsi="Times New Roman"/>
          <w:sz w:val="28"/>
          <w:szCs w:val="28"/>
        </w:rPr>
        <w:t>”</w:t>
      </w:r>
      <w:r w:rsidRPr="0095129B">
        <w:rPr>
          <w:rFonts w:ascii="Times New Roman" w:hAnsi="Times New Roman"/>
          <w:sz w:val="28"/>
          <w:szCs w:val="28"/>
        </w:rPr>
        <w:t>重点建设学科的投入，提升优势学科显示度。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rPr>
          <w:rFonts w:ascii="Times New Roman" w:hAnsi="Times New Roman"/>
          <w:sz w:val="28"/>
          <w:szCs w:val="28"/>
        </w:rPr>
      </w:pPr>
      <w:r w:rsidRPr="0095129B">
        <w:rPr>
          <w:rFonts w:ascii="Times New Roman" w:hAnsi="宋体" w:hint="eastAsia"/>
          <w:b/>
          <w:bCs/>
          <w:sz w:val="28"/>
          <w:szCs w:val="28"/>
        </w:rPr>
        <w:t>（二）“集中力量办大事”原则。</w:t>
      </w:r>
      <w:r w:rsidRPr="0095129B">
        <w:rPr>
          <w:rFonts w:ascii="Times New Roman" w:hAnsi="宋体" w:hint="eastAsia"/>
          <w:sz w:val="28"/>
          <w:szCs w:val="28"/>
        </w:rPr>
        <w:t>各单位要将有限资金优先用于有利于重点建设学科发展的公共平台、大项目建设，原则上理工科学科经费投入院级平台建设比例不低于</w:t>
      </w:r>
      <w:r w:rsidRPr="0095129B">
        <w:rPr>
          <w:rFonts w:ascii="Times New Roman" w:hAnsi="宋体" w:hint="eastAsia"/>
          <w:sz w:val="28"/>
          <w:szCs w:val="28"/>
        </w:rPr>
        <w:t>60%</w:t>
      </w:r>
      <w:r w:rsidRPr="0095129B">
        <w:rPr>
          <w:rFonts w:ascii="Times New Roman" w:hAnsi="宋体" w:hint="eastAsia"/>
          <w:sz w:val="28"/>
          <w:szCs w:val="28"/>
        </w:rPr>
        <w:t>。避免资金碎片化、零散化，严格限制开分卡，降低劳务费、差旅费比重，谨慎将资金以课题立项、配套奖励等形式分散使用，避免将学科专项经费作为日常办公经费的补充。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rPr>
          <w:rFonts w:ascii="Times New Roman" w:hAnsi="Times New Roman"/>
          <w:sz w:val="28"/>
          <w:szCs w:val="28"/>
        </w:rPr>
      </w:pPr>
      <w:r w:rsidRPr="0095129B">
        <w:rPr>
          <w:rFonts w:ascii="Times New Roman" w:hAnsi="Times New Roman" w:hint="eastAsia"/>
          <w:b/>
          <w:bCs/>
          <w:sz w:val="28"/>
          <w:szCs w:val="28"/>
        </w:rPr>
        <w:t>（三）</w:t>
      </w:r>
      <w:r w:rsidRPr="0095129B">
        <w:rPr>
          <w:rFonts w:ascii="Times New Roman" w:hAnsi="宋体" w:hint="eastAsia"/>
          <w:b/>
          <w:bCs/>
          <w:sz w:val="28"/>
          <w:szCs w:val="28"/>
        </w:rPr>
        <w:t>资源统筹原则。</w:t>
      </w:r>
      <w:r w:rsidRPr="0095129B">
        <w:rPr>
          <w:rFonts w:ascii="Times New Roman" w:hAnsi="Times New Roman"/>
          <w:sz w:val="28"/>
          <w:szCs w:val="28"/>
        </w:rPr>
        <w:t>各学院（学部）要将高水平大学建设资金与学校其他口径来源的资金进行统筹安排，做到合理规划、公平公正，</w:t>
      </w:r>
      <w:r w:rsidRPr="0095129B">
        <w:rPr>
          <w:rFonts w:ascii="Times New Roman" w:hAnsi="Times New Roman" w:hint="eastAsia"/>
          <w:sz w:val="28"/>
          <w:szCs w:val="28"/>
        </w:rPr>
        <w:t>原则上，</w:t>
      </w:r>
      <w:r w:rsidRPr="0095129B">
        <w:rPr>
          <w:rFonts w:ascii="Times New Roman" w:hAnsi="Times New Roman"/>
          <w:sz w:val="28"/>
          <w:szCs w:val="28"/>
        </w:rPr>
        <w:t>2021</w:t>
      </w:r>
      <w:r w:rsidRPr="0095129B">
        <w:rPr>
          <w:rFonts w:ascii="Times New Roman" w:hAnsi="Times New Roman"/>
          <w:sz w:val="28"/>
          <w:szCs w:val="28"/>
        </w:rPr>
        <w:t>年度经费不可用于基建和实验室装修等项目，在师资队</w:t>
      </w:r>
      <w:r w:rsidRPr="0095129B">
        <w:rPr>
          <w:rFonts w:ascii="Times New Roman" w:hAnsi="Times New Roman"/>
          <w:sz w:val="28"/>
          <w:szCs w:val="28"/>
        </w:rPr>
        <w:lastRenderedPageBreak/>
        <w:t>伍建设上，应重点用于存量教职工上，新引进人才所需的各类开支由人力资源开发与管理处统筹解决。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200" w:firstLine="562"/>
        <w:rPr>
          <w:rFonts w:ascii="Times New Roman" w:hAnsi="Times New Roman"/>
          <w:sz w:val="28"/>
          <w:szCs w:val="28"/>
        </w:rPr>
      </w:pPr>
      <w:r w:rsidRPr="0095129B">
        <w:rPr>
          <w:rFonts w:ascii="Times New Roman" w:hAnsi="宋体" w:hint="eastAsia"/>
          <w:b/>
          <w:bCs/>
          <w:sz w:val="28"/>
          <w:szCs w:val="28"/>
        </w:rPr>
        <w:t>（四）</w:t>
      </w:r>
      <w:r w:rsidRPr="0095129B">
        <w:rPr>
          <w:rFonts w:ascii="Times New Roman" w:hAnsi="Times New Roman" w:hint="eastAsia"/>
          <w:b/>
          <w:bCs/>
          <w:sz w:val="28"/>
          <w:szCs w:val="28"/>
        </w:rPr>
        <w:t>突出绩效管理原则。</w:t>
      </w:r>
      <w:r w:rsidRPr="0095129B">
        <w:rPr>
          <w:rFonts w:ascii="Times New Roman" w:hAnsi="Times New Roman" w:hint="eastAsia"/>
          <w:sz w:val="28"/>
          <w:szCs w:val="28"/>
        </w:rPr>
        <w:t>进一步加强资金使用的过程和绩效管理。将各学科目标管理责任书、年度工作方案、年度预算等材料进行专家评审，适时对建设项目经费使用情况进行审计，在</w:t>
      </w:r>
      <w:r w:rsidRPr="0095129B">
        <w:rPr>
          <w:rFonts w:ascii="Times New Roman" w:hAnsi="Times New Roman" w:hint="eastAsia"/>
          <w:sz w:val="28"/>
          <w:szCs w:val="28"/>
        </w:rPr>
        <w:t>11</w:t>
      </w:r>
      <w:r w:rsidRPr="0095129B">
        <w:rPr>
          <w:rFonts w:ascii="Times New Roman" w:hAnsi="Times New Roman" w:hint="eastAsia"/>
          <w:sz w:val="28"/>
          <w:szCs w:val="28"/>
        </w:rPr>
        <w:t>月份对经费实施动态统筹，以确保学校整体支付率和建设效益</w:t>
      </w:r>
      <w:r w:rsidRPr="0095129B">
        <w:rPr>
          <w:rFonts w:ascii="Times New Roman" w:hAnsi="Times New Roman"/>
          <w:sz w:val="28"/>
          <w:szCs w:val="28"/>
        </w:rPr>
        <w:t>；</w:t>
      </w:r>
      <w:r w:rsidRPr="0095129B">
        <w:rPr>
          <w:rFonts w:ascii="Times New Roman" w:hAnsi="Times New Roman" w:hint="eastAsia"/>
          <w:sz w:val="28"/>
          <w:szCs w:val="28"/>
        </w:rPr>
        <w:t>对上一</w:t>
      </w:r>
      <w:r w:rsidRPr="0095129B">
        <w:rPr>
          <w:rFonts w:ascii="Times New Roman" w:hAnsi="Times New Roman"/>
          <w:sz w:val="28"/>
          <w:szCs w:val="28"/>
        </w:rPr>
        <w:t>年度</w:t>
      </w:r>
      <w:r w:rsidRPr="0095129B">
        <w:rPr>
          <w:rFonts w:ascii="Times New Roman" w:hAnsi="Times New Roman" w:hint="eastAsia"/>
          <w:sz w:val="28"/>
          <w:szCs w:val="28"/>
        </w:rPr>
        <w:t>经费的年底支付率进行考核，确定本年度首次经费拨付额度。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rPr>
          <w:rFonts w:ascii="Times New Roman" w:hAnsi="宋体"/>
          <w:b/>
          <w:sz w:val="28"/>
          <w:szCs w:val="28"/>
        </w:rPr>
      </w:pPr>
      <w:r w:rsidRPr="0095129B">
        <w:rPr>
          <w:rFonts w:ascii="Times New Roman" w:hAnsi="宋体" w:hint="eastAsia"/>
          <w:b/>
          <w:sz w:val="28"/>
          <w:szCs w:val="28"/>
        </w:rPr>
        <w:t>二、资金下达及预算管理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jc w:val="left"/>
        <w:rPr>
          <w:rFonts w:ascii="Times New Roman" w:hAnsi="宋体"/>
          <w:sz w:val="28"/>
          <w:szCs w:val="28"/>
        </w:rPr>
      </w:pPr>
      <w:r w:rsidRPr="0095129B">
        <w:rPr>
          <w:rFonts w:ascii="Times New Roman" w:hAnsi="Times New Roman" w:hint="eastAsia"/>
          <w:b/>
          <w:bCs/>
          <w:sz w:val="28"/>
          <w:szCs w:val="28"/>
        </w:rPr>
        <w:t>（一）项目预算编制。</w:t>
      </w:r>
      <w:r w:rsidRPr="0095129B">
        <w:rPr>
          <w:rFonts w:ascii="Times New Roman" w:hAnsi="宋体"/>
          <w:sz w:val="28"/>
          <w:szCs w:val="28"/>
        </w:rPr>
        <w:t>各建设项目</w:t>
      </w:r>
      <w:r w:rsidRPr="0095129B">
        <w:rPr>
          <w:rFonts w:ascii="Times New Roman" w:hAnsi="宋体" w:hint="eastAsia"/>
          <w:sz w:val="28"/>
          <w:szCs w:val="28"/>
        </w:rPr>
        <w:t>在</w:t>
      </w:r>
      <w:r w:rsidRPr="0095129B">
        <w:rPr>
          <w:rFonts w:ascii="Times New Roman" w:hAnsi="宋体"/>
          <w:sz w:val="28"/>
          <w:szCs w:val="28"/>
        </w:rPr>
        <w:t>收到</w:t>
      </w:r>
      <w:r w:rsidRPr="0095129B">
        <w:rPr>
          <w:rFonts w:ascii="Times New Roman" w:hAnsi="宋体" w:hint="eastAsia"/>
          <w:sz w:val="28"/>
          <w:szCs w:val="28"/>
        </w:rPr>
        <w:t>预算下达</w:t>
      </w:r>
      <w:r w:rsidRPr="0095129B">
        <w:rPr>
          <w:rFonts w:ascii="Times New Roman" w:hAnsi="宋体"/>
          <w:sz w:val="28"/>
          <w:szCs w:val="28"/>
        </w:rPr>
        <w:t>通知</w:t>
      </w:r>
      <w:r w:rsidRPr="0095129B">
        <w:rPr>
          <w:rFonts w:ascii="Times New Roman" w:hAnsi="宋体" w:hint="eastAsia"/>
          <w:sz w:val="28"/>
          <w:szCs w:val="28"/>
        </w:rPr>
        <w:t>后，</w:t>
      </w:r>
      <w:r w:rsidRPr="0095129B">
        <w:rPr>
          <w:rFonts w:ascii="Times New Roman" w:hAnsi="宋体"/>
          <w:sz w:val="28"/>
          <w:szCs w:val="28"/>
        </w:rPr>
        <w:t>最迟</w:t>
      </w:r>
      <w:r w:rsidRPr="0095129B">
        <w:rPr>
          <w:rFonts w:ascii="Times New Roman" w:hAnsi="宋体" w:hint="eastAsia"/>
          <w:sz w:val="28"/>
          <w:szCs w:val="28"/>
        </w:rPr>
        <w:t>两周</w:t>
      </w:r>
      <w:r w:rsidRPr="0095129B">
        <w:rPr>
          <w:rFonts w:ascii="Times New Roman" w:hAnsi="宋体"/>
          <w:sz w:val="28"/>
          <w:szCs w:val="28"/>
        </w:rPr>
        <w:t>内上报详细预算，编制过程应遵守学校相关</w:t>
      </w:r>
      <w:r w:rsidRPr="0095129B">
        <w:rPr>
          <w:rFonts w:ascii="Times New Roman" w:hAnsi="宋体" w:hint="eastAsia"/>
          <w:sz w:val="28"/>
          <w:szCs w:val="28"/>
        </w:rPr>
        <w:t>政策及</w:t>
      </w:r>
      <w:r w:rsidRPr="0095129B">
        <w:rPr>
          <w:rFonts w:ascii="Times New Roman" w:hAnsi="宋体"/>
          <w:sz w:val="28"/>
          <w:szCs w:val="28"/>
        </w:rPr>
        <w:t>制度（</w:t>
      </w:r>
      <w:r w:rsidRPr="0095129B">
        <w:rPr>
          <w:rFonts w:ascii="Times New Roman" w:hAnsi="Times New Roman"/>
          <w:sz w:val="28"/>
          <w:szCs w:val="28"/>
        </w:rPr>
        <w:t>“</w:t>
      </w:r>
      <w:r w:rsidRPr="0095129B">
        <w:rPr>
          <w:rFonts w:ascii="Times New Roman" w:hAnsi="宋体"/>
          <w:sz w:val="28"/>
          <w:szCs w:val="28"/>
        </w:rPr>
        <w:t>三重一大</w:t>
      </w:r>
      <w:r w:rsidRPr="0095129B">
        <w:rPr>
          <w:rFonts w:ascii="Times New Roman" w:hAnsi="Times New Roman"/>
          <w:sz w:val="28"/>
          <w:szCs w:val="28"/>
        </w:rPr>
        <w:t>”</w:t>
      </w:r>
      <w:r w:rsidRPr="0095129B">
        <w:rPr>
          <w:rFonts w:ascii="Times New Roman" w:hAnsi="宋体"/>
          <w:sz w:val="28"/>
          <w:szCs w:val="28"/>
        </w:rPr>
        <w:t>等）。超过</w:t>
      </w:r>
      <w:r w:rsidRPr="0095129B">
        <w:rPr>
          <w:rFonts w:ascii="Times New Roman" w:hAnsi="宋体" w:hint="eastAsia"/>
          <w:sz w:val="28"/>
          <w:szCs w:val="28"/>
        </w:rPr>
        <w:t>两周</w:t>
      </w:r>
      <w:r w:rsidRPr="0095129B">
        <w:rPr>
          <w:rFonts w:ascii="Times New Roman" w:hAnsi="宋体"/>
          <w:sz w:val="28"/>
          <w:szCs w:val="28"/>
        </w:rPr>
        <w:t>不能提交预算的，学校</w:t>
      </w:r>
      <w:r w:rsidRPr="0095129B">
        <w:rPr>
          <w:rFonts w:ascii="Times New Roman" w:hAnsi="宋体" w:hint="eastAsia"/>
          <w:sz w:val="28"/>
          <w:szCs w:val="28"/>
        </w:rPr>
        <w:t>将</w:t>
      </w:r>
      <w:r w:rsidRPr="0095129B">
        <w:rPr>
          <w:rFonts w:ascii="Times New Roman" w:hAnsi="宋体"/>
          <w:sz w:val="28"/>
          <w:szCs w:val="28"/>
        </w:rPr>
        <w:t>收回该项目本年度预算额度。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jc w:val="left"/>
        <w:rPr>
          <w:rFonts w:ascii="Times New Roman" w:hAnsi="Times New Roman"/>
          <w:sz w:val="28"/>
          <w:szCs w:val="28"/>
        </w:rPr>
      </w:pPr>
      <w:r w:rsidRPr="0095129B">
        <w:rPr>
          <w:rFonts w:ascii="Times New Roman" w:hAnsi="宋体" w:hint="eastAsia"/>
          <w:b/>
          <w:bCs/>
          <w:sz w:val="28"/>
          <w:szCs w:val="28"/>
        </w:rPr>
        <w:t>（二）项目预算调整。</w:t>
      </w:r>
      <w:r w:rsidRPr="0095129B">
        <w:rPr>
          <w:rFonts w:ascii="Times New Roman" w:hAnsi="宋体" w:hint="eastAsia"/>
          <w:sz w:val="28"/>
          <w:szCs w:val="28"/>
        </w:rPr>
        <w:t>各</w:t>
      </w:r>
      <w:r w:rsidRPr="0095129B">
        <w:rPr>
          <w:rFonts w:ascii="Times New Roman" w:hAnsi="宋体"/>
          <w:sz w:val="28"/>
          <w:szCs w:val="28"/>
        </w:rPr>
        <w:t>项目预算一经</w:t>
      </w:r>
      <w:r w:rsidRPr="0095129B">
        <w:rPr>
          <w:rFonts w:ascii="Times New Roman" w:hAnsi="宋体" w:hint="eastAsia"/>
          <w:sz w:val="28"/>
          <w:szCs w:val="28"/>
        </w:rPr>
        <w:t>上报</w:t>
      </w:r>
      <w:r w:rsidRPr="0095129B">
        <w:rPr>
          <w:rFonts w:ascii="Times New Roman" w:hAnsi="宋体"/>
          <w:sz w:val="28"/>
          <w:szCs w:val="28"/>
        </w:rPr>
        <w:t>，即应按预算尽快执行。项目执行过程中</w:t>
      </w:r>
      <w:r w:rsidRPr="0095129B">
        <w:rPr>
          <w:rFonts w:ascii="Times New Roman" w:hAnsi="宋体" w:hint="eastAsia"/>
          <w:sz w:val="28"/>
          <w:szCs w:val="28"/>
        </w:rPr>
        <w:t>，</w:t>
      </w:r>
      <w:r w:rsidRPr="0095129B">
        <w:rPr>
          <w:rFonts w:ascii="Times New Roman" w:hAnsi="宋体"/>
          <w:sz w:val="28"/>
          <w:szCs w:val="28"/>
        </w:rPr>
        <w:t>预算调整次数</w:t>
      </w:r>
      <w:r w:rsidRPr="0095129B">
        <w:rPr>
          <w:rFonts w:ascii="Times New Roman" w:hAnsi="宋体" w:hint="eastAsia"/>
          <w:sz w:val="28"/>
          <w:szCs w:val="28"/>
        </w:rPr>
        <w:t>原则上</w:t>
      </w:r>
      <w:r w:rsidRPr="0095129B">
        <w:rPr>
          <w:rFonts w:ascii="Times New Roman" w:hAnsi="宋体"/>
          <w:sz w:val="28"/>
          <w:szCs w:val="28"/>
        </w:rPr>
        <w:t>不能超过一次，</w:t>
      </w:r>
      <w:r w:rsidRPr="0095129B">
        <w:rPr>
          <w:rFonts w:ascii="Times New Roman" w:hAnsi="宋体" w:hint="eastAsia"/>
          <w:sz w:val="28"/>
          <w:szCs w:val="28"/>
        </w:rPr>
        <w:t>预算金额调整比例超过</w:t>
      </w:r>
      <w:r w:rsidRPr="0095129B">
        <w:rPr>
          <w:rFonts w:ascii="Times New Roman" w:hAnsi="宋体" w:hint="eastAsia"/>
          <w:sz w:val="28"/>
          <w:szCs w:val="28"/>
        </w:rPr>
        <w:t>10%</w:t>
      </w:r>
      <w:r w:rsidRPr="0095129B">
        <w:rPr>
          <w:rFonts w:ascii="Times New Roman" w:hAnsi="宋体" w:hint="eastAsia"/>
          <w:sz w:val="28"/>
          <w:szCs w:val="28"/>
        </w:rPr>
        <w:t>或调整金额超过</w:t>
      </w:r>
      <w:r w:rsidRPr="0095129B">
        <w:rPr>
          <w:rFonts w:ascii="Times New Roman" w:hAnsi="宋体" w:hint="eastAsia"/>
          <w:sz w:val="28"/>
          <w:szCs w:val="28"/>
        </w:rPr>
        <w:t>10</w:t>
      </w:r>
      <w:r w:rsidRPr="0095129B">
        <w:rPr>
          <w:rFonts w:ascii="Times New Roman" w:hAnsi="宋体" w:hint="eastAsia"/>
          <w:sz w:val="28"/>
          <w:szCs w:val="28"/>
        </w:rPr>
        <w:t>万元，需先报</w:t>
      </w:r>
      <w:r w:rsidRPr="0095129B">
        <w:rPr>
          <w:rFonts w:ascii="Times New Roman" w:hAnsi="宋体"/>
          <w:sz w:val="28"/>
          <w:szCs w:val="28"/>
        </w:rPr>
        <w:t>项目所在单位</w:t>
      </w:r>
      <w:r w:rsidRPr="0095129B">
        <w:rPr>
          <w:rFonts w:ascii="Times New Roman" w:hAnsi="宋体" w:hint="eastAsia"/>
          <w:sz w:val="28"/>
          <w:szCs w:val="28"/>
        </w:rPr>
        <w:t>分管校领导审批后报发展规划处审核；</w:t>
      </w:r>
      <w:r w:rsidRPr="0095129B">
        <w:rPr>
          <w:rFonts w:ascii="Times New Roman" w:hAnsi="宋体"/>
          <w:sz w:val="28"/>
          <w:szCs w:val="28"/>
        </w:rPr>
        <w:t>一年内</w:t>
      </w:r>
      <w:r w:rsidRPr="0095129B">
        <w:rPr>
          <w:rFonts w:ascii="Times New Roman" w:hAnsi="宋体" w:hint="eastAsia"/>
          <w:sz w:val="28"/>
          <w:szCs w:val="28"/>
        </w:rPr>
        <w:t>第二</w:t>
      </w:r>
      <w:r w:rsidRPr="0095129B">
        <w:rPr>
          <w:rFonts w:ascii="Times New Roman" w:hAnsi="宋体"/>
          <w:sz w:val="28"/>
          <w:szCs w:val="28"/>
        </w:rPr>
        <w:t>次调整</w:t>
      </w:r>
      <w:r w:rsidRPr="0095129B">
        <w:rPr>
          <w:rFonts w:ascii="Times New Roman" w:hAnsi="宋体" w:hint="eastAsia"/>
          <w:sz w:val="28"/>
          <w:szCs w:val="28"/>
        </w:rPr>
        <w:t>项目</w:t>
      </w:r>
      <w:r w:rsidRPr="0095129B">
        <w:rPr>
          <w:rFonts w:ascii="Times New Roman" w:hAnsi="宋体"/>
          <w:sz w:val="28"/>
          <w:szCs w:val="28"/>
        </w:rPr>
        <w:t>预算须先报项目所在单位分管校领导审批。</w:t>
      </w:r>
    </w:p>
    <w:p w:rsidR="0095129B" w:rsidRPr="0095129B" w:rsidRDefault="0095129B" w:rsidP="0095129B">
      <w:pPr>
        <w:adjustRightInd w:val="0"/>
        <w:snapToGrid w:val="0"/>
        <w:spacing w:line="600" w:lineRule="exact"/>
        <w:ind w:firstLineChars="196" w:firstLine="551"/>
        <w:rPr>
          <w:rFonts w:ascii="Times New Roman" w:hAnsi="宋体"/>
          <w:b/>
          <w:sz w:val="28"/>
          <w:szCs w:val="28"/>
        </w:rPr>
      </w:pPr>
      <w:r w:rsidRPr="0095129B">
        <w:rPr>
          <w:rFonts w:ascii="Times New Roman" w:hAnsi="宋体" w:hint="eastAsia"/>
          <w:b/>
          <w:sz w:val="28"/>
          <w:szCs w:val="28"/>
        </w:rPr>
        <w:t>三、绩效考核与动态调整</w:t>
      </w:r>
    </w:p>
    <w:p w:rsidR="00666EEC" w:rsidRPr="0095129B" w:rsidRDefault="0095129B" w:rsidP="0095129B">
      <w:pPr>
        <w:adjustRightInd w:val="0"/>
        <w:snapToGrid w:val="0"/>
        <w:spacing w:line="600" w:lineRule="exact"/>
        <w:ind w:firstLineChars="196" w:firstLine="549"/>
        <w:jc w:val="left"/>
        <w:rPr>
          <w:rFonts w:ascii="Times New Roman" w:hAnsi="Times New Roman" w:hint="eastAsia"/>
          <w:sz w:val="28"/>
          <w:szCs w:val="28"/>
        </w:rPr>
      </w:pPr>
      <w:r w:rsidRPr="0095129B">
        <w:rPr>
          <w:rFonts w:ascii="Times New Roman" w:hAnsi="宋体" w:hint="eastAsia"/>
          <w:sz w:val="28"/>
          <w:szCs w:val="28"/>
        </w:rPr>
        <w:t>学校</w:t>
      </w:r>
      <w:r w:rsidRPr="0095129B">
        <w:rPr>
          <w:rFonts w:ascii="Times New Roman" w:hAnsi="宋体"/>
          <w:sz w:val="28"/>
          <w:szCs w:val="28"/>
        </w:rPr>
        <w:t>进一步加强</w:t>
      </w:r>
      <w:r w:rsidRPr="0095129B">
        <w:rPr>
          <w:rFonts w:ascii="Times New Roman" w:hAnsi="宋体" w:hint="eastAsia"/>
          <w:sz w:val="28"/>
          <w:szCs w:val="28"/>
        </w:rPr>
        <w:t>资金使用的支付率考核和</w:t>
      </w:r>
      <w:r w:rsidRPr="0095129B">
        <w:rPr>
          <w:rFonts w:ascii="Times New Roman" w:hAnsi="宋体"/>
          <w:sz w:val="28"/>
          <w:szCs w:val="28"/>
        </w:rPr>
        <w:t>绩效管理</w:t>
      </w:r>
      <w:r w:rsidRPr="0095129B">
        <w:rPr>
          <w:rFonts w:ascii="Times New Roman" w:hAnsi="宋体" w:hint="eastAsia"/>
          <w:sz w:val="28"/>
          <w:szCs w:val="28"/>
        </w:rPr>
        <w:t>，对预算编制及执行环节不理想的项目实施审计</w:t>
      </w:r>
      <w:r w:rsidRPr="0095129B">
        <w:rPr>
          <w:rFonts w:ascii="Times New Roman" w:hAnsi="宋体"/>
          <w:sz w:val="28"/>
          <w:szCs w:val="28"/>
        </w:rPr>
        <w:t>。</w:t>
      </w:r>
      <w:r w:rsidRPr="0095129B">
        <w:rPr>
          <w:rFonts w:ascii="Times New Roman" w:hAnsi="宋体" w:hint="eastAsia"/>
          <w:sz w:val="28"/>
          <w:szCs w:val="28"/>
        </w:rPr>
        <w:t>2021</w:t>
      </w:r>
      <w:r w:rsidRPr="0095129B">
        <w:rPr>
          <w:rFonts w:ascii="Times New Roman" w:hAnsi="宋体" w:hint="eastAsia"/>
          <w:sz w:val="28"/>
          <w:szCs w:val="28"/>
        </w:rPr>
        <w:t>年</w:t>
      </w:r>
      <w:r w:rsidRPr="0095129B">
        <w:rPr>
          <w:rFonts w:ascii="Times New Roman" w:hAnsi="宋体" w:hint="eastAsia"/>
          <w:sz w:val="28"/>
          <w:szCs w:val="28"/>
        </w:rPr>
        <w:t>6</w:t>
      </w:r>
      <w:r w:rsidRPr="0095129B">
        <w:rPr>
          <w:rFonts w:ascii="Times New Roman" w:hAnsi="宋体" w:hint="eastAsia"/>
          <w:sz w:val="28"/>
          <w:szCs w:val="28"/>
        </w:rPr>
        <w:t>月底、</w:t>
      </w:r>
      <w:r w:rsidRPr="0095129B">
        <w:rPr>
          <w:rFonts w:ascii="Times New Roman" w:hAnsi="宋体" w:hint="eastAsia"/>
          <w:sz w:val="28"/>
          <w:szCs w:val="28"/>
        </w:rPr>
        <w:t>9</w:t>
      </w:r>
      <w:r w:rsidRPr="0095129B">
        <w:rPr>
          <w:rFonts w:ascii="Times New Roman" w:hAnsi="宋体" w:hint="eastAsia"/>
          <w:sz w:val="28"/>
          <w:szCs w:val="28"/>
        </w:rPr>
        <w:t>月底及</w:t>
      </w:r>
      <w:r w:rsidRPr="0095129B">
        <w:rPr>
          <w:rFonts w:ascii="Times New Roman" w:hAnsi="宋体" w:hint="eastAsia"/>
          <w:sz w:val="28"/>
          <w:szCs w:val="28"/>
        </w:rPr>
        <w:t>11</w:t>
      </w:r>
      <w:r w:rsidRPr="0095129B">
        <w:rPr>
          <w:rFonts w:ascii="Times New Roman" w:hAnsi="宋体" w:hint="eastAsia"/>
          <w:sz w:val="28"/>
          <w:szCs w:val="28"/>
        </w:rPr>
        <w:t>月底，学校可根据整体建设需要对各建设项目进行支付率考核和绩效考核，视考核结果和实际需求调整项目预算。此外</w:t>
      </w:r>
      <w:r w:rsidRPr="0095129B">
        <w:rPr>
          <w:rFonts w:ascii="Times New Roman" w:hAnsi="Times New Roman" w:hint="eastAsia"/>
          <w:sz w:val="28"/>
          <w:szCs w:val="28"/>
        </w:rPr>
        <w:t>根据当年各建设项目</w:t>
      </w:r>
      <w:r w:rsidRPr="0095129B">
        <w:rPr>
          <w:rFonts w:ascii="Times New Roman" w:hAnsi="Times New Roman" w:hint="eastAsia"/>
          <w:sz w:val="28"/>
          <w:szCs w:val="28"/>
        </w:rPr>
        <w:t>12</w:t>
      </w:r>
      <w:r w:rsidRPr="0095129B">
        <w:rPr>
          <w:rFonts w:ascii="Times New Roman" w:hAnsi="Times New Roman" w:hint="eastAsia"/>
          <w:sz w:val="28"/>
          <w:szCs w:val="28"/>
        </w:rPr>
        <w:t>月底的支付率，确定下一年度预算首次拨付额度。</w:t>
      </w:r>
    </w:p>
    <w:sectPr w:rsidR="00666EEC" w:rsidRPr="00951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7DD" w:rsidRDefault="00E027DD" w:rsidP="0095129B">
      <w:r>
        <w:separator/>
      </w:r>
    </w:p>
  </w:endnote>
  <w:endnote w:type="continuationSeparator" w:id="0">
    <w:p w:rsidR="00E027DD" w:rsidRDefault="00E027DD" w:rsidP="00951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7DD" w:rsidRDefault="00E027DD" w:rsidP="0095129B">
      <w:r>
        <w:separator/>
      </w:r>
    </w:p>
  </w:footnote>
  <w:footnote w:type="continuationSeparator" w:id="0">
    <w:p w:rsidR="00E027DD" w:rsidRDefault="00E027DD" w:rsidP="00951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93F"/>
    <w:rsid w:val="0011693F"/>
    <w:rsid w:val="001F6F78"/>
    <w:rsid w:val="005C6477"/>
    <w:rsid w:val="0095129B"/>
    <w:rsid w:val="00E027DD"/>
    <w:rsid w:val="00E83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819A7"/>
  <w15:chartTrackingRefBased/>
  <w15:docId w15:val="{90F111DD-7010-4442-8644-D4897C374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12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1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12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12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12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朱华森</dc:creator>
  <cp:keywords/>
  <dc:description/>
  <cp:lastModifiedBy>朱华森</cp:lastModifiedBy>
  <cp:revision>2</cp:revision>
  <dcterms:created xsi:type="dcterms:W3CDTF">2021-04-20T08:45:00Z</dcterms:created>
  <dcterms:modified xsi:type="dcterms:W3CDTF">2021-04-20T08:46:00Z</dcterms:modified>
</cp:coreProperties>
</file>